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71" w:rsidRDefault="00761C0F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:rsidR="00762071" w:rsidRDefault="00761C0F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к разделу III. «Малое и среднее предпринимательство» </w:t>
      </w:r>
    </w:p>
    <w:p w:rsidR="00762071" w:rsidRDefault="00761C0F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прогноза социально-экономического развития на 2022</w:t>
      </w:r>
      <w:r>
        <w:rPr>
          <w:rFonts w:ascii="Times New Roman" w:hAnsi="Times New Roman"/>
          <w:b/>
          <w:sz w:val="28"/>
        </w:rPr>
        <w:t>-20245</w:t>
      </w:r>
      <w:r>
        <w:rPr>
          <w:rFonts w:ascii="Times New Roman" w:hAnsi="Times New Roman"/>
          <w:b/>
          <w:sz w:val="28"/>
        </w:rPr>
        <w:t xml:space="preserve"> годы </w:t>
      </w:r>
    </w:p>
    <w:p w:rsidR="00762071" w:rsidRDefault="00761C0F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г. Донецка Ростовской области</w:t>
      </w:r>
    </w:p>
    <w:p w:rsidR="00762071" w:rsidRDefault="00761C0F">
      <w:pPr>
        <w:tabs>
          <w:tab w:val="left" w:pos="3818"/>
        </w:tabs>
      </w:pPr>
      <w:r>
        <w:rPr>
          <w:rFonts w:ascii="Times New Roman" w:hAnsi="Times New Roman"/>
          <w:sz w:val="28"/>
        </w:rPr>
        <w:tab/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 xml:space="preserve">Особое место в экономической и социальной сферах города Донецка занимает малый и </w:t>
      </w:r>
      <w:r>
        <w:rPr>
          <w:rFonts w:ascii="Times New Roman" w:hAnsi="Times New Roman"/>
          <w:sz w:val="28"/>
        </w:rPr>
        <w:t>средний бизнес, который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 города, стабильность налоговых поступлений.</w:t>
      </w:r>
      <w:proofErr w:type="gramEnd"/>
      <w:r>
        <w:rPr>
          <w:rFonts w:ascii="Times New Roman" w:hAnsi="Times New Roman"/>
          <w:sz w:val="28"/>
        </w:rPr>
        <w:t xml:space="preserve"> Раз</w:t>
      </w:r>
      <w:r>
        <w:rPr>
          <w:rFonts w:ascii="Times New Roman" w:hAnsi="Times New Roman"/>
          <w:sz w:val="28"/>
        </w:rPr>
        <w:t>витие предпринимательства является одной из приоритетных задач социально – экономического развития города Донецка.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В 2018 году постановлением Администрации города Донецка от 18.12.2018        № 89 утверждена муниципальная программа муниципального образован</w:t>
      </w:r>
      <w:r>
        <w:rPr>
          <w:rFonts w:ascii="Times New Roman" w:hAnsi="Times New Roman"/>
          <w:sz w:val="28"/>
        </w:rPr>
        <w:t>ия         «Город Донецк» «Экономическое развитие и инновационная экономика», основная цель которой является создание благоприятного предпринимательского климата и условий для ведения бизнеса.</w:t>
      </w:r>
    </w:p>
    <w:p w:rsidR="00761C0F" w:rsidRDefault="00761C0F" w:rsidP="00761C0F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01.01.2022 года в городе Донецке осуществляют п</w:t>
      </w:r>
      <w:r>
        <w:rPr>
          <w:rFonts w:ascii="Times New Roman" w:hAnsi="Times New Roman"/>
          <w:sz w:val="28"/>
        </w:rPr>
        <w:t xml:space="preserve">редпринимательскую деятельность </w:t>
      </w:r>
      <w:r>
        <w:rPr>
          <w:rFonts w:ascii="Times New Roman" w:hAnsi="Times New Roman"/>
          <w:b/>
          <w:sz w:val="28"/>
        </w:rPr>
        <w:t>205</w:t>
      </w:r>
      <w:r>
        <w:rPr>
          <w:rFonts w:ascii="Times New Roman" w:hAnsi="Times New Roman"/>
          <w:sz w:val="28"/>
        </w:rPr>
        <w:t xml:space="preserve"> малых предприятий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761C0F" w:rsidRDefault="00761C0F" w:rsidP="00761C0F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Количество индивидуальных предпринимателей составляет </w:t>
      </w:r>
      <w:r>
        <w:rPr>
          <w:rFonts w:ascii="Times New Roman" w:hAnsi="Times New Roman"/>
          <w:b/>
          <w:sz w:val="28"/>
        </w:rPr>
        <w:t>1242</w:t>
      </w:r>
      <w:r>
        <w:rPr>
          <w:rFonts w:ascii="Times New Roman" w:hAnsi="Times New Roman"/>
          <w:sz w:val="28"/>
        </w:rPr>
        <w:t xml:space="preserve"> единицы. 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Машиностроительное предприятие ООО «</w:t>
      </w:r>
      <w:proofErr w:type="spellStart"/>
      <w:r>
        <w:rPr>
          <w:rFonts w:ascii="Times New Roman" w:hAnsi="Times New Roman"/>
          <w:sz w:val="28"/>
        </w:rPr>
        <w:t>Донэкс</w:t>
      </w:r>
      <w:proofErr w:type="spellEnd"/>
      <w:r>
        <w:rPr>
          <w:rFonts w:ascii="Times New Roman" w:hAnsi="Times New Roman"/>
          <w:sz w:val="28"/>
        </w:rPr>
        <w:t>» состоит в Единый реестр субъектов малого и среднего предпри</w:t>
      </w:r>
      <w:r>
        <w:rPr>
          <w:rFonts w:ascii="Times New Roman" w:hAnsi="Times New Roman"/>
          <w:sz w:val="28"/>
        </w:rPr>
        <w:t>нимательства как среднее предприятие с 10.08.2018 года, находится в стадии ликвидации.</w:t>
      </w:r>
    </w:p>
    <w:p w:rsidR="00762071" w:rsidRDefault="00761C0F" w:rsidP="00761C0F">
      <w:pPr>
        <w:tabs>
          <w:tab w:val="center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Арбитражного суда Ростовской области от 15 декабря 2020 года, Дело №А53-20250/2019 в отношен</w:t>
      </w:r>
      <w:proofErr w:type="gramStart"/>
      <w:r>
        <w:rPr>
          <w:rFonts w:ascii="Times New Roman" w:hAnsi="Times New Roman"/>
          <w:sz w:val="28"/>
        </w:rPr>
        <w:t>ии ООО</w:t>
      </w:r>
      <w:proofErr w:type="gramEnd"/>
      <w:r>
        <w:rPr>
          <w:rFonts w:ascii="Times New Roman" w:hAnsi="Times New Roman"/>
          <w:sz w:val="28"/>
        </w:rPr>
        <w:t xml:space="preserve"> «ДОНЭКС» открыта процедура, применяемая в деле о банкротстве,</w:t>
      </w:r>
      <w:r>
        <w:rPr>
          <w:rFonts w:ascii="Times New Roman" w:hAnsi="Times New Roman"/>
          <w:sz w:val="28"/>
        </w:rPr>
        <w:t xml:space="preserve"> - конкурсное производство.</w:t>
      </w:r>
    </w:p>
    <w:p w:rsidR="00762071" w:rsidRDefault="00761C0F" w:rsidP="00761C0F">
      <w:pPr>
        <w:tabs>
          <w:tab w:val="center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Конкурсным управляющим </w:t>
      </w:r>
      <w:proofErr w:type="gramStart"/>
      <w:r>
        <w:rPr>
          <w:rFonts w:ascii="Times New Roman" w:hAnsi="Times New Roman"/>
          <w:sz w:val="28"/>
        </w:rPr>
        <w:t>назначен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Габдулвагапов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Айрат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Назыпович</w:t>
      </w:r>
      <w:proofErr w:type="spellEnd"/>
      <w:r>
        <w:rPr>
          <w:rFonts w:ascii="Times New Roman" w:hAnsi="Times New Roman"/>
          <w:sz w:val="28"/>
        </w:rPr>
        <w:t>.</w:t>
      </w:r>
    </w:p>
    <w:p w:rsidR="00762071" w:rsidRDefault="00761C0F" w:rsidP="00761C0F">
      <w:pPr>
        <w:tabs>
          <w:tab w:val="center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концу  2020 года предприятие полностью прекратило финансово-хозяйственную деятельность.</w:t>
      </w:r>
    </w:p>
    <w:p w:rsidR="00762071" w:rsidRDefault="00761C0F" w:rsidP="00761C0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Проведены торги в форме аукциона с закрытой формой представления предложени</w:t>
      </w:r>
      <w:r>
        <w:rPr>
          <w:rFonts w:ascii="Times New Roman" w:hAnsi="Times New Roman"/>
          <w:sz w:val="28"/>
        </w:rPr>
        <w:t>й о цене по реализации имущества ООО «ДОНЭКС» завершившихся 28.12.2021г. на электронной торговой площадке (ЭТП) ООО «ЕВРАЗИЙСКАЯ ТОРГОВАЯ ПЛОЩАДКА» (http://eurtp.ru): победителем торгов по лоту № 1 (здания (кроме жилых) и сооружения, не включенные в другие</w:t>
      </w:r>
      <w:r>
        <w:rPr>
          <w:rFonts w:ascii="Times New Roman" w:hAnsi="Times New Roman"/>
          <w:sz w:val="28"/>
        </w:rPr>
        <w:t xml:space="preserve"> группировки, </w:t>
      </w:r>
      <w:r>
        <w:rPr>
          <w:rFonts w:ascii="Times New Roman" w:hAnsi="Times New Roman"/>
          <w:sz w:val="28"/>
        </w:rPr>
        <w:br/>
        <w:t>земельные участки)  с ценой предложения 300 млн. руб. и по лоту №2 (металлообрабатывающее</w:t>
      </w:r>
      <w:proofErr w:type="gramEnd"/>
      <w:r>
        <w:rPr>
          <w:rFonts w:ascii="Times New Roman" w:hAnsi="Times New Roman"/>
          <w:sz w:val="28"/>
        </w:rPr>
        <w:t xml:space="preserve"> оборудование, </w:t>
      </w:r>
      <w:proofErr w:type="spellStart"/>
      <w:r>
        <w:rPr>
          <w:rFonts w:ascii="Times New Roman" w:hAnsi="Times New Roman"/>
          <w:sz w:val="28"/>
        </w:rPr>
        <w:t>комплектующие</w:t>
      </w:r>
      <w:proofErr w:type="gramStart"/>
      <w:r>
        <w:rPr>
          <w:rFonts w:ascii="Times New Roman" w:hAnsi="Times New Roman"/>
          <w:sz w:val="28"/>
        </w:rPr>
        <w:t>,и</w:t>
      </w:r>
      <w:proofErr w:type="gramEnd"/>
      <w:r>
        <w:rPr>
          <w:rFonts w:ascii="Times New Roman" w:hAnsi="Times New Roman"/>
          <w:sz w:val="28"/>
        </w:rPr>
        <w:t>нструмент</w:t>
      </w:r>
      <w:proofErr w:type="spellEnd"/>
      <w:r>
        <w:rPr>
          <w:rFonts w:ascii="Times New Roman" w:hAnsi="Times New Roman"/>
          <w:sz w:val="28"/>
        </w:rPr>
        <w:t>, машины и оборудование прочие, не включенные в другие группировки) с ценой предложения 85</w:t>
      </w:r>
      <w:r>
        <w:rPr>
          <w:rStyle w:val="1"/>
          <w:rFonts w:ascii="Times New Roman" w:hAnsi="Times New Roman"/>
          <w:sz w:val="28"/>
        </w:rPr>
        <w:t xml:space="preserve"> млн. руб. признан </w:t>
      </w:r>
      <w:proofErr w:type="spellStart"/>
      <w:r>
        <w:rPr>
          <w:rStyle w:val="1"/>
          <w:rFonts w:ascii="Times New Roman" w:hAnsi="Times New Roman"/>
          <w:sz w:val="28"/>
        </w:rPr>
        <w:t>Топа</w:t>
      </w:r>
      <w:r>
        <w:rPr>
          <w:rStyle w:val="1"/>
          <w:rFonts w:ascii="Times New Roman" w:hAnsi="Times New Roman"/>
          <w:sz w:val="28"/>
        </w:rPr>
        <w:t>лов</w:t>
      </w:r>
      <w:proofErr w:type="spellEnd"/>
      <w:r>
        <w:rPr>
          <w:rStyle w:val="1"/>
          <w:rFonts w:ascii="Times New Roman" w:hAnsi="Times New Roman"/>
          <w:sz w:val="28"/>
        </w:rPr>
        <w:t xml:space="preserve"> Вадим </w:t>
      </w:r>
      <w:proofErr w:type="spellStart"/>
      <w:r>
        <w:rPr>
          <w:rStyle w:val="1"/>
          <w:rFonts w:ascii="Times New Roman" w:hAnsi="Times New Roman"/>
          <w:sz w:val="28"/>
        </w:rPr>
        <w:t>Баградович</w:t>
      </w:r>
      <w:proofErr w:type="spellEnd"/>
      <w:r>
        <w:rPr>
          <w:rStyle w:val="1"/>
          <w:rFonts w:ascii="Times New Roman" w:hAnsi="Times New Roman"/>
          <w:sz w:val="28"/>
        </w:rPr>
        <w:t xml:space="preserve">. 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24.02.2022 ООО "</w:t>
      </w:r>
      <w:proofErr w:type="gramStart"/>
      <w:r>
        <w:rPr>
          <w:rStyle w:val="1"/>
          <w:rFonts w:ascii="Times New Roman" w:hAnsi="Times New Roman"/>
          <w:sz w:val="28"/>
        </w:rPr>
        <w:t>РЕГИОН-ТОРГИ</w:t>
      </w:r>
      <w:proofErr w:type="gramEnd"/>
      <w:r>
        <w:rPr>
          <w:rStyle w:val="1"/>
          <w:rFonts w:ascii="Times New Roman" w:hAnsi="Times New Roman"/>
          <w:sz w:val="28"/>
        </w:rPr>
        <w:t>" объявлено о проведении повторных торгов  в форме аукциона с закрытой формой представления предложений о цене следующего имущества: лот №2 (металлообрабатывающее оборудование, комплектующие, инструмент, м</w:t>
      </w:r>
      <w:r>
        <w:rPr>
          <w:rStyle w:val="1"/>
          <w:rFonts w:ascii="Times New Roman" w:hAnsi="Times New Roman"/>
          <w:sz w:val="28"/>
        </w:rPr>
        <w:t>ашины и оборудование прочие, не включенные в другие группировки), начальная цена лота №2: 45,1 млн. руб.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Проведены повторные торги в форме аукциона с закрытой формой представления предложений о цене по реализации имуществ</w:t>
      </w:r>
      <w:proofErr w:type="gramStart"/>
      <w:r>
        <w:rPr>
          <w:rStyle w:val="1"/>
          <w:rFonts w:ascii="Times New Roman" w:hAnsi="Times New Roman"/>
          <w:sz w:val="28"/>
        </w:rPr>
        <w:t>а ООО</w:t>
      </w:r>
      <w:proofErr w:type="gramEnd"/>
      <w:r>
        <w:rPr>
          <w:rStyle w:val="1"/>
          <w:rFonts w:ascii="Times New Roman" w:hAnsi="Times New Roman"/>
          <w:sz w:val="28"/>
        </w:rPr>
        <w:t xml:space="preserve"> «ДОНЭКС» завершившиеся 05.04.</w:t>
      </w:r>
      <w:r>
        <w:rPr>
          <w:rStyle w:val="1"/>
          <w:rFonts w:ascii="Times New Roman" w:hAnsi="Times New Roman"/>
          <w:sz w:val="28"/>
        </w:rPr>
        <w:t xml:space="preserve">2022г. 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lastRenderedPageBreak/>
        <w:t xml:space="preserve">Победителем торгов по лоту №2 (металлообрабатывающее оборудование, комплектующие, инструмент, машины и оборудование прочие, не включенные в другие группировки) с ценой предложения 99 млн. руб. признана </w:t>
      </w:r>
      <w:proofErr w:type="spellStart"/>
      <w:r>
        <w:rPr>
          <w:rStyle w:val="1"/>
          <w:rFonts w:ascii="Times New Roman" w:hAnsi="Times New Roman"/>
          <w:sz w:val="28"/>
        </w:rPr>
        <w:t>Аниськина</w:t>
      </w:r>
      <w:proofErr w:type="spellEnd"/>
      <w:r>
        <w:rPr>
          <w:rStyle w:val="1"/>
          <w:rFonts w:ascii="Times New Roman" w:hAnsi="Times New Roman"/>
          <w:sz w:val="28"/>
        </w:rPr>
        <w:t xml:space="preserve"> Оксана Владимировна, действующая в и</w:t>
      </w:r>
      <w:r>
        <w:rPr>
          <w:rStyle w:val="1"/>
          <w:rFonts w:ascii="Times New Roman" w:hAnsi="Times New Roman"/>
          <w:sz w:val="28"/>
        </w:rPr>
        <w:t xml:space="preserve">нтересах ООО «ГАРАНТ СЕРВИС» (ИНН 6167200142) на основании агентского договора от 30.03.2022г. №30/30/2022. 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Дальнейшие планы собственников в отношении приобретенного имущественного комплекс</w:t>
      </w:r>
      <w:proofErr w:type="gramStart"/>
      <w:r>
        <w:rPr>
          <w:rStyle w:val="1"/>
          <w:rFonts w:ascii="Times New Roman" w:hAnsi="Times New Roman"/>
          <w:sz w:val="28"/>
        </w:rPr>
        <w:t>а ООО</w:t>
      </w:r>
      <w:proofErr w:type="gramEnd"/>
      <w:r>
        <w:rPr>
          <w:rStyle w:val="1"/>
          <w:rFonts w:ascii="Times New Roman" w:hAnsi="Times New Roman"/>
          <w:sz w:val="28"/>
        </w:rPr>
        <w:t xml:space="preserve"> «</w:t>
      </w:r>
      <w:proofErr w:type="spellStart"/>
      <w:r>
        <w:rPr>
          <w:rStyle w:val="1"/>
          <w:rFonts w:ascii="Times New Roman" w:hAnsi="Times New Roman"/>
          <w:sz w:val="28"/>
        </w:rPr>
        <w:t>Донэкс</w:t>
      </w:r>
      <w:proofErr w:type="spellEnd"/>
      <w:r>
        <w:rPr>
          <w:rStyle w:val="1"/>
          <w:rFonts w:ascii="Times New Roman" w:hAnsi="Times New Roman"/>
          <w:sz w:val="28"/>
        </w:rPr>
        <w:t xml:space="preserve">» не известны. </w:t>
      </w:r>
      <w:r>
        <w:rPr>
          <w:rStyle w:val="1"/>
          <w:rFonts w:ascii="Times New Roman" w:hAnsi="Times New Roman"/>
          <w:sz w:val="28"/>
        </w:rPr>
        <w:t>По состоянию на 01.01.2022 года численн</w:t>
      </w:r>
      <w:r>
        <w:rPr>
          <w:rStyle w:val="1"/>
          <w:rFonts w:ascii="Times New Roman" w:hAnsi="Times New Roman"/>
          <w:sz w:val="28"/>
        </w:rPr>
        <w:t xml:space="preserve">ость работников, занятых на малых предприятиях (с учётом </w:t>
      </w:r>
      <w:proofErr w:type="spellStart"/>
      <w:r>
        <w:rPr>
          <w:rStyle w:val="1"/>
          <w:rFonts w:ascii="Times New Roman" w:hAnsi="Times New Roman"/>
          <w:sz w:val="28"/>
        </w:rPr>
        <w:t>микропредприятий</w:t>
      </w:r>
      <w:proofErr w:type="spellEnd"/>
      <w:r>
        <w:rPr>
          <w:rStyle w:val="1"/>
          <w:rFonts w:ascii="Times New Roman" w:hAnsi="Times New Roman"/>
          <w:sz w:val="28"/>
        </w:rPr>
        <w:t>) составляет 1119 человек (темп роста к 2020 году составил 95,1 %). Среднесписочная численность работников на средних предприятиях составила 40 человек. В 2025 году планируемая средне</w:t>
      </w:r>
      <w:r>
        <w:rPr>
          <w:rStyle w:val="1"/>
          <w:rFonts w:ascii="Times New Roman" w:hAnsi="Times New Roman"/>
          <w:sz w:val="28"/>
        </w:rPr>
        <w:t xml:space="preserve">списочная численность на малых предприятиях (с учётом </w:t>
      </w:r>
      <w:proofErr w:type="spellStart"/>
      <w:r>
        <w:rPr>
          <w:rStyle w:val="1"/>
          <w:rFonts w:ascii="Times New Roman" w:hAnsi="Times New Roman"/>
          <w:sz w:val="28"/>
        </w:rPr>
        <w:t>микропредприятий</w:t>
      </w:r>
      <w:proofErr w:type="spellEnd"/>
      <w:r>
        <w:rPr>
          <w:rStyle w:val="1"/>
          <w:rFonts w:ascii="Times New Roman" w:hAnsi="Times New Roman"/>
          <w:sz w:val="28"/>
        </w:rPr>
        <w:t xml:space="preserve">) составит1597 человек. Планируемая среднесписочная численность на средних предприятиях в 2025 году составит 4 человека. 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Style w:val="1"/>
          <w:rFonts w:ascii="Times New Roman" w:hAnsi="Times New Roman"/>
          <w:sz w:val="28"/>
        </w:rPr>
        <w:t>По состоянию</w:t>
      </w:r>
      <w:r>
        <w:rPr>
          <w:rFonts w:ascii="Times New Roman" w:hAnsi="Times New Roman"/>
          <w:sz w:val="28"/>
        </w:rPr>
        <w:t xml:space="preserve"> на 01.01.2022 года размер официально начисленной ср</w:t>
      </w:r>
      <w:r>
        <w:rPr>
          <w:rFonts w:ascii="Times New Roman" w:hAnsi="Times New Roman"/>
          <w:sz w:val="28"/>
        </w:rPr>
        <w:t xml:space="preserve">еднемесячной заработной платы на малых предприятиях составил </w:t>
      </w:r>
      <w:r>
        <w:rPr>
          <w:rFonts w:ascii="Times New Roman" w:hAnsi="Times New Roman"/>
          <w:b/>
          <w:sz w:val="28"/>
        </w:rPr>
        <w:t>25431</w:t>
      </w:r>
      <w:r>
        <w:rPr>
          <w:rFonts w:ascii="Times New Roman" w:hAnsi="Times New Roman"/>
          <w:sz w:val="28"/>
        </w:rPr>
        <w:t xml:space="preserve"> рублей 00 копеек, в 2025 году планируемая  среднемесячная заработная плата на малых предприятиях составит </w:t>
      </w:r>
      <w:r>
        <w:rPr>
          <w:rFonts w:ascii="Times New Roman" w:hAnsi="Times New Roman"/>
          <w:b/>
          <w:sz w:val="28"/>
        </w:rPr>
        <w:t>32807</w:t>
      </w:r>
      <w:r>
        <w:rPr>
          <w:rFonts w:ascii="Times New Roman" w:hAnsi="Times New Roman"/>
          <w:sz w:val="28"/>
        </w:rPr>
        <w:t xml:space="preserve"> рублей 00 копеек. Размер официально начисленной заработной платы на </w:t>
      </w:r>
      <w:proofErr w:type="spellStart"/>
      <w:r>
        <w:rPr>
          <w:rFonts w:ascii="Times New Roman" w:hAnsi="Times New Roman"/>
          <w:sz w:val="28"/>
        </w:rPr>
        <w:t>микропред</w:t>
      </w:r>
      <w:r>
        <w:rPr>
          <w:rFonts w:ascii="Times New Roman" w:hAnsi="Times New Roman"/>
          <w:sz w:val="28"/>
        </w:rPr>
        <w:t>приятиях</w:t>
      </w:r>
      <w:proofErr w:type="spellEnd"/>
      <w:r>
        <w:rPr>
          <w:rFonts w:ascii="Times New Roman" w:hAnsi="Times New Roman"/>
          <w:sz w:val="28"/>
        </w:rPr>
        <w:t xml:space="preserve"> по состоянию на 01.01.2022 года составил </w:t>
      </w:r>
      <w:r>
        <w:rPr>
          <w:rFonts w:ascii="Times New Roman" w:hAnsi="Times New Roman"/>
          <w:b/>
          <w:sz w:val="28"/>
        </w:rPr>
        <w:t>14782</w:t>
      </w:r>
      <w:r>
        <w:rPr>
          <w:rFonts w:ascii="Times New Roman" w:hAnsi="Times New Roman"/>
          <w:sz w:val="28"/>
        </w:rPr>
        <w:t xml:space="preserve"> рублей 00 копеек, в 2025 году планируемая  среднемесячная заработная плата составит </w:t>
      </w:r>
      <w:r>
        <w:rPr>
          <w:rFonts w:ascii="Times New Roman" w:hAnsi="Times New Roman"/>
          <w:b/>
          <w:sz w:val="28"/>
        </w:rPr>
        <w:t>17820</w:t>
      </w:r>
      <w:r>
        <w:rPr>
          <w:rFonts w:ascii="Times New Roman" w:hAnsi="Times New Roman"/>
          <w:sz w:val="28"/>
        </w:rPr>
        <w:t xml:space="preserve"> рублей 00 копеек. Размер официально начисленной среднемесячной заработной платы на средних предприятиях по сос</w:t>
      </w:r>
      <w:r>
        <w:rPr>
          <w:rFonts w:ascii="Times New Roman" w:hAnsi="Times New Roman"/>
          <w:sz w:val="28"/>
        </w:rPr>
        <w:t xml:space="preserve">тоянию на 01.01.2022 года составляет </w:t>
      </w:r>
      <w:r>
        <w:rPr>
          <w:rFonts w:ascii="Times New Roman" w:hAnsi="Times New Roman"/>
          <w:b/>
          <w:sz w:val="28"/>
        </w:rPr>
        <w:t>24872</w:t>
      </w:r>
      <w:r>
        <w:rPr>
          <w:rFonts w:ascii="Times New Roman" w:hAnsi="Times New Roman"/>
          <w:sz w:val="28"/>
        </w:rPr>
        <w:t xml:space="preserve"> рублей 00 копеек,  планируемая  среднемесячная заработная плата  на средних предприятиях в 2025 году составит </w:t>
      </w:r>
      <w:r>
        <w:rPr>
          <w:rFonts w:ascii="Times New Roman" w:hAnsi="Times New Roman"/>
          <w:b/>
          <w:sz w:val="28"/>
        </w:rPr>
        <w:t>29342</w:t>
      </w:r>
      <w:r>
        <w:rPr>
          <w:rFonts w:ascii="Times New Roman" w:hAnsi="Times New Roman"/>
          <w:sz w:val="28"/>
        </w:rPr>
        <w:t xml:space="preserve"> рублей 00 копеек. 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Оборот по малым предприятиям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>) по итогам 2021 года с</w:t>
      </w:r>
      <w:r>
        <w:rPr>
          <w:rFonts w:ascii="Times New Roman" w:hAnsi="Times New Roman"/>
          <w:sz w:val="28"/>
        </w:rPr>
        <w:t xml:space="preserve">оставил </w:t>
      </w:r>
      <w:r>
        <w:rPr>
          <w:rFonts w:ascii="Times New Roman" w:hAnsi="Times New Roman"/>
          <w:b/>
          <w:sz w:val="28"/>
        </w:rPr>
        <w:t>3987,7</w:t>
      </w:r>
      <w:r>
        <w:rPr>
          <w:rFonts w:ascii="Times New Roman" w:hAnsi="Times New Roman"/>
          <w:sz w:val="28"/>
        </w:rPr>
        <w:t xml:space="preserve"> млн. рублей (темп роста к 2020 году составил</w:t>
      </w:r>
      <w:r>
        <w:rPr>
          <w:rFonts w:ascii="Times New Roman" w:hAnsi="Times New Roman"/>
          <w:b/>
          <w:sz w:val="28"/>
        </w:rPr>
        <w:t xml:space="preserve"> 115,65%</w:t>
      </w:r>
      <w:r>
        <w:rPr>
          <w:rFonts w:ascii="Times New Roman" w:hAnsi="Times New Roman"/>
          <w:sz w:val="28"/>
        </w:rPr>
        <w:t xml:space="preserve">). Планируемый оборот по малым предприятиям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>) в 2025 году составит</w:t>
      </w:r>
      <w:r>
        <w:rPr>
          <w:rFonts w:ascii="Times New Roman" w:hAnsi="Times New Roman"/>
          <w:b/>
          <w:sz w:val="28"/>
        </w:rPr>
        <w:t xml:space="preserve"> 6057,8</w:t>
      </w:r>
      <w:r>
        <w:rPr>
          <w:rFonts w:ascii="Times New Roman" w:hAnsi="Times New Roman"/>
          <w:sz w:val="28"/>
        </w:rPr>
        <w:t xml:space="preserve"> млн. рублей (темп роста к 2021 году  - </w:t>
      </w:r>
      <w:r>
        <w:rPr>
          <w:rFonts w:ascii="Times New Roman" w:hAnsi="Times New Roman"/>
          <w:b/>
          <w:sz w:val="28"/>
        </w:rPr>
        <w:t>151,9</w:t>
      </w:r>
      <w:r>
        <w:rPr>
          <w:rFonts w:ascii="Times New Roman" w:hAnsi="Times New Roman"/>
          <w:sz w:val="28"/>
        </w:rPr>
        <w:t xml:space="preserve"> %). 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Рост показателя в сравнении с 2020 годо</w:t>
      </w:r>
      <w:r>
        <w:rPr>
          <w:rFonts w:ascii="Times New Roman" w:hAnsi="Times New Roman"/>
          <w:sz w:val="28"/>
        </w:rPr>
        <w:t xml:space="preserve">м обусловлен увеличением оборота на малых и </w:t>
      </w:r>
      <w:proofErr w:type="spellStart"/>
      <w:r>
        <w:rPr>
          <w:rFonts w:ascii="Times New Roman" w:hAnsi="Times New Roman"/>
          <w:sz w:val="28"/>
        </w:rPr>
        <w:t>микропредприятиях</w:t>
      </w:r>
      <w:proofErr w:type="spellEnd"/>
      <w:r>
        <w:rPr>
          <w:rFonts w:ascii="Times New Roman" w:hAnsi="Times New Roman"/>
          <w:sz w:val="28"/>
        </w:rPr>
        <w:t>, занятых в сфере обрабатывающего производства, строительства и розничной торговли.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Оборот по средним предприятиям в 2021 году составил </w:t>
      </w:r>
      <w:r>
        <w:rPr>
          <w:rFonts w:ascii="Times New Roman" w:hAnsi="Times New Roman"/>
          <w:b/>
          <w:sz w:val="28"/>
        </w:rPr>
        <w:t>5,026</w:t>
      </w:r>
      <w:r>
        <w:rPr>
          <w:rFonts w:ascii="Times New Roman" w:hAnsi="Times New Roman"/>
          <w:sz w:val="28"/>
        </w:rPr>
        <w:t xml:space="preserve"> млн. рублей.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Наблюдается незначительное увеличение показателя по сравнению с 2020 годом  (темп роста к 2020 году составил 102,6 %). 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 xml:space="preserve">Планируемый оборот по средним предприятиям в 2022 году составит – </w:t>
      </w:r>
      <w:r>
        <w:rPr>
          <w:rFonts w:ascii="Times New Roman" w:hAnsi="Times New Roman"/>
          <w:b/>
          <w:sz w:val="28"/>
        </w:rPr>
        <w:t>5,5</w:t>
      </w:r>
      <w:r>
        <w:rPr>
          <w:rFonts w:ascii="Times New Roman" w:hAnsi="Times New Roman"/>
          <w:sz w:val="28"/>
        </w:rPr>
        <w:t xml:space="preserve"> млн. рублей, в 2023 году составит - </w:t>
      </w:r>
      <w:r>
        <w:rPr>
          <w:rFonts w:ascii="Times New Roman" w:hAnsi="Times New Roman"/>
          <w:b/>
          <w:sz w:val="28"/>
        </w:rPr>
        <w:t>6,1</w:t>
      </w:r>
      <w:r>
        <w:rPr>
          <w:rFonts w:ascii="Times New Roman" w:hAnsi="Times New Roman"/>
          <w:sz w:val="28"/>
        </w:rPr>
        <w:t xml:space="preserve"> млн. рублей, в 2024 году —</w:t>
      </w:r>
      <w:r>
        <w:rPr>
          <w:rFonts w:ascii="Times New Roman" w:hAnsi="Times New Roman"/>
          <w:b/>
          <w:sz w:val="28"/>
        </w:rPr>
        <w:t xml:space="preserve"> 6,8</w:t>
      </w:r>
      <w:r>
        <w:rPr>
          <w:rFonts w:ascii="Times New Roman" w:hAnsi="Times New Roman"/>
          <w:sz w:val="28"/>
        </w:rPr>
        <w:t xml:space="preserve"> млн. рублей, в 2025 году — </w:t>
      </w:r>
      <w:r>
        <w:rPr>
          <w:rFonts w:ascii="Times New Roman" w:hAnsi="Times New Roman"/>
          <w:b/>
          <w:sz w:val="28"/>
        </w:rPr>
        <w:t>7,5</w:t>
      </w:r>
      <w:r>
        <w:rPr>
          <w:rFonts w:ascii="Times New Roman" w:hAnsi="Times New Roman"/>
          <w:sz w:val="28"/>
        </w:rPr>
        <w:t xml:space="preserve"> млн. рублей.</w:t>
      </w:r>
      <w:proofErr w:type="gramEnd"/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 xml:space="preserve">Объем инвестиций в основной капитал малых предприятий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 xml:space="preserve">) в 2021 году составил </w:t>
      </w:r>
      <w:r>
        <w:rPr>
          <w:rFonts w:ascii="Times New Roman" w:hAnsi="Times New Roman"/>
          <w:b/>
          <w:sz w:val="28"/>
        </w:rPr>
        <w:t>342,884</w:t>
      </w:r>
      <w:r>
        <w:rPr>
          <w:rFonts w:ascii="Times New Roman" w:hAnsi="Times New Roman"/>
          <w:sz w:val="28"/>
        </w:rPr>
        <w:t xml:space="preserve"> млн. рублей (объем инвестиций в 2020 году составил </w:t>
      </w:r>
      <w:r>
        <w:rPr>
          <w:rFonts w:ascii="Times New Roman" w:hAnsi="Times New Roman"/>
          <w:b/>
          <w:sz w:val="28"/>
        </w:rPr>
        <w:t>90,635</w:t>
      </w:r>
      <w:r>
        <w:rPr>
          <w:rFonts w:ascii="Times New Roman" w:hAnsi="Times New Roman"/>
          <w:sz w:val="28"/>
        </w:rPr>
        <w:t xml:space="preserve"> млн. рублей) просматриваемое </w:t>
      </w:r>
      <w:r>
        <w:rPr>
          <w:rFonts w:ascii="Times New Roman" w:hAnsi="Times New Roman"/>
          <w:sz w:val="28"/>
        </w:rPr>
        <w:t>увеличение объема инвестиций в основной капитал (по полному кругу предприятий) в период с 2023 – 2025 годы обусловлено реализацией инвестиционных проектов резидентов территории опережающего социально-экономического развития «Донецк».</w:t>
      </w:r>
      <w:proofErr w:type="gramEnd"/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Постановлением Правите</w:t>
      </w:r>
      <w:r>
        <w:rPr>
          <w:rFonts w:ascii="Times New Roman" w:hAnsi="Times New Roman"/>
          <w:sz w:val="28"/>
        </w:rPr>
        <w:t>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Постановлением Правительства Российск</w:t>
      </w:r>
      <w:r>
        <w:rPr>
          <w:rFonts w:ascii="Times New Roman" w:hAnsi="Times New Roman"/>
          <w:sz w:val="28"/>
        </w:rPr>
        <w:t>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декабре 2018 год</w:t>
      </w:r>
      <w:proofErr w:type="gramStart"/>
      <w:r>
        <w:rPr>
          <w:rFonts w:ascii="Times New Roman" w:hAnsi="Times New Roman"/>
          <w:sz w:val="28"/>
        </w:rPr>
        <w:t>а ООО</w:t>
      </w:r>
      <w:proofErr w:type="gramEnd"/>
      <w:r>
        <w:rPr>
          <w:rFonts w:ascii="Times New Roman" w:hAnsi="Times New Roman"/>
          <w:sz w:val="28"/>
        </w:rPr>
        <w:t xml:space="preserve"> «АГРОФИРМА  «ДОНЕЦКАЯ ДОЛИНА</w:t>
      </w:r>
      <w:r>
        <w:rPr>
          <w:rFonts w:ascii="Times New Roman" w:hAnsi="Times New Roman"/>
          <w:sz w:val="28"/>
        </w:rPr>
        <w:t>» получило статус резидента ТОСЭР «Донецк», с 2019 года начало реализацию инвестиционного проекта «Питомник плодовых деревьев».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инвестиций на 2020 год составляет  11,240 млн. рублей, на 2021 год -22,773 млн. рублей, на 2022 год – 10,0 млн. рублей, на</w:t>
      </w:r>
      <w:r>
        <w:rPr>
          <w:rFonts w:ascii="Times New Roman" w:hAnsi="Times New Roman"/>
          <w:sz w:val="28"/>
        </w:rPr>
        <w:t xml:space="preserve"> 2023 год – 6 млн. </w:t>
      </w:r>
      <w:proofErr w:type="spellStart"/>
      <w:r>
        <w:rPr>
          <w:rFonts w:ascii="Times New Roman" w:hAnsi="Times New Roman"/>
          <w:sz w:val="28"/>
        </w:rPr>
        <w:t>рублей</w:t>
      </w:r>
      <w:proofErr w:type="gramStart"/>
      <w:r>
        <w:rPr>
          <w:rFonts w:ascii="Times New Roman" w:hAnsi="Times New Roman"/>
          <w:sz w:val="28"/>
        </w:rPr>
        <w:t>.З</w:t>
      </w:r>
      <w:proofErr w:type="gramEnd"/>
      <w:r>
        <w:rPr>
          <w:rFonts w:ascii="Times New Roman" w:hAnsi="Times New Roman"/>
          <w:sz w:val="28"/>
        </w:rPr>
        <w:t>а</w:t>
      </w:r>
      <w:proofErr w:type="spellEnd"/>
      <w:r>
        <w:rPr>
          <w:rFonts w:ascii="Times New Roman" w:hAnsi="Times New Roman"/>
          <w:sz w:val="28"/>
        </w:rPr>
        <w:t xml:space="preserve"> 5 месяцев текущего года предприятием освоено 8,756 млн. рублей.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2021 году выполнены строительно-монтажные работы по обеспечению инвестиционного проекта водоснабжением, 02.08.2021 года – состоялось подключение к </w:t>
      </w:r>
      <w:proofErr w:type="spellStart"/>
      <w:r>
        <w:rPr>
          <w:rFonts w:ascii="Times New Roman" w:hAnsi="Times New Roman"/>
          <w:sz w:val="28"/>
        </w:rPr>
        <w:t>Гундорово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Гу</w:t>
      </w:r>
      <w:r>
        <w:rPr>
          <w:rFonts w:ascii="Times New Roman" w:hAnsi="Times New Roman"/>
          <w:sz w:val="28"/>
        </w:rPr>
        <w:t>ковскому</w:t>
      </w:r>
      <w:proofErr w:type="spellEnd"/>
      <w:r>
        <w:rPr>
          <w:rFonts w:ascii="Times New Roman" w:hAnsi="Times New Roman"/>
          <w:sz w:val="28"/>
        </w:rPr>
        <w:t xml:space="preserve"> водопроводу.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Инвестором приобретен посадочный материал, установлено ограждение, а также капельный полив.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июля 2019 года на территории ТОСЭР «Донецк» ООО «</w:t>
      </w:r>
      <w:proofErr w:type="spellStart"/>
      <w:r>
        <w:rPr>
          <w:rFonts w:ascii="Times New Roman" w:hAnsi="Times New Roman"/>
          <w:sz w:val="28"/>
        </w:rPr>
        <w:t>АльПако</w:t>
      </w:r>
      <w:proofErr w:type="spellEnd"/>
      <w:r>
        <w:rPr>
          <w:rFonts w:ascii="Times New Roman" w:hAnsi="Times New Roman"/>
          <w:sz w:val="28"/>
        </w:rPr>
        <w:t>» приступило к реализации инвестиционного проекта «Создание предприятия по производс</w:t>
      </w:r>
      <w:r>
        <w:rPr>
          <w:rFonts w:ascii="Times New Roman" w:hAnsi="Times New Roman"/>
          <w:sz w:val="28"/>
        </w:rPr>
        <w:t xml:space="preserve">тву детских развивающих настольных игр, головоломок, книг-игрушек на территории города Донецка». 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Объем инвестиций на 2021 год составляет 29,4 млн. рублей, на 2022 год запланировано освоить 1,9 млн. рублей инвестиций).</w:t>
      </w:r>
      <w:proofErr w:type="gramEnd"/>
      <w:r>
        <w:rPr>
          <w:rFonts w:ascii="Times New Roman" w:hAnsi="Times New Roman"/>
          <w:sz w:val="28"/>
        </w:rPr>
        <w:t xml:space="preserve">  За 5 месяцев текущего года предприят</w:t>
      </w:r>
      <w:r>
        <w:rPr>
          <w:rFonts w:ascii="Times New Roman" w:hAnsi="Times New Roman"/>
          <w:sz w:val="28"/>
        </w:rPr>
        <w:t>ием освоено 0,76 млн. рублей.</w:t>
      </w:r>
    </w:p>
    <w:p w:rsidR="00762071" w:rsidRDefault="00761C0F" w:rsidP="00761C0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2020 году предприятием  приобретено оборудование, необходимое для выполнения некоторых этапов производственного процесса, с учетом   приобретения основного оборудования для увеличения объемов производства, а также оборудован</w:t>
      </w:r>
      <w:r>
        <w:rPr>
          <w:rFonts w:ascii="Times New Roman" w:hAnsi="Times New Roman"/>
          <w:sz w:val="28"/>
        </w:rPr>
        <w:t>ия, которое позволит Компании существенно расширить ассортимент производимой продукции ТМ Компании, и создавать новые рабочие места для эксплуатации и поддержания исправности оборудования на сумму 32,933 млн. рублей.</w:t>
      </w:r>
      <w:proofErr w:type="gramEnd"/>
    </w:p>
    <w:p w:rsidR="00762071" w:rsidRDefault="00761C0F" w:rsidP="00761C0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нематериальных активов было </w:t>
      </w:r>
      <w:r>
        <w:rPr>
          <w:rFonts w:ascii="Times New Roman" w:hAnsi="Times New Roman"/>
          <w:sz w:val="28"/>
        </w:rPr>
        <w:t>осуществлено приобретение исключительных прав на Произведения (разработка книг-игрушек, книг-игрушек с тактильными вставками, настольных игр) в рамках подписания договоров Авторского заказа на отчуждение исключительного права в установленных пределах.</w:t>
      </w:r>
    </w:p>
    <w:p w:rsidR="00762071" w:rsidRDefault="00761C0F" w:rsidP="00761C0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 xml:space="preserve">21 году  выкуплен земельный участок площадью 7 570 кв. метров, и производственные здания общей площадью 2 218 кв. метров для размещения складских помещений для </w:t>
      </w:r>
      <w:proofErr w:type="gramStart"/>
      <w:r>
        <w:rPr>
          <w:rFonts w:ascii="Times New Roman" w:hAnsi="Times New Roman"/>
          <w:sz w:val="28"/>
        </w:rPr>
        <w:t>хранения</w:t>
      </w:r>
      <w:proofErr w:type="gramEnd"/>
      <w:r>
        <w:rPr>
          <w:rFonts w:ascii="Times New Roman" w:hAnsi="Times New Roman"/>
          <w:sz w:val="28"/>
        </w:rPr>
        <w:t xml:space="preserve"> как заготовок, так и готовой продукции.</w:t>
      </w:r>
    </w:p>
    <w:p w:rsidR="00762071" w:rsidRDefault="00761C0F" w:rsidP="00761C0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Приобретены нематериальных активов в виде исклю</w:t>
      </w:r>
      <w:r>
        <w:rPr>
          <w:rFonts w:ascii="Times New Roman" w:hAnsi="Times New Roman"/>
          <w:sz w:val="28"/>
        </w:rPr>
        <w:t xml:space="preserve">чительных авторских прав на уникальные, без аналоговые разработки настольных игр для последующего производства (с созданием новых рабочих мест) и реализации, в том числе и на зарубежных рынках в рамках развития внешнеэкономической деятельности Компании, а </w:t>
      </w:r>
      <w:r>
        <w:rPr>
          <w:rFonts w:ascii="Times New Roman" w:hAnsi="Times New Roman"/>
          <w:sz w:val="28"/>
        </w:rPr>
        <w:t>также дополнительное оборудование, необходимое для производства расширенного ассортимента продукции торговой марки Компании.</w:t>
      </w:r>
      <w:proofErr w:type="gramEnd"/>
    </w:p>
    <w:p w:rsidR="00762071" w:rsidRDefault="00761C0F" w:rsidP="00761C0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1 квартале 2022 года  капитальные вложения инвестор направил на модернизацию производственного здания.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мае 2020 год</w:t>
      </w:r>
      <w:proofErr w:type="gramStart"/>
      <w:r>
        <w:rPr>
          <w:rFonts w:ascii="Times New Roman" w:hAnsi="Times New Roman"/>
          <w:sz w:val="28"/>
        </w:rPr>
        <w:t>а ООО</w:t>
      </w:r>
      <w:proofErr w:type="gramEnd"/>
      <w:r>
        <w:rPr>
          <w:rFonts w:ascii="Times New Roman" w:hAnsi="Times New Roman"/>
          <w:sz w:val="28"/>
        </w:rPr>
        <w:t xml:space="preserve"> «НПП «</w:t>
      </w:r>
      <w:r>
        <w:rPr>
          <w:rFonts w:ascii="Times New Roman" w:hAnsi="Times New Roman"/>
          <w:sz w:val="28"/>
        </w:rPr>
        <w:t>Плитка-Арти» получило статус резидента ТОСЭР «Донецк» и приступило к реализации инвестиционного проекта «Производство керамической плитки и декоров».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Объем инвестиций на 2021 год составляет </w:t>
      </w:r>
      <w:r>
        <w:rPr>
          <w:rFonts w:ascii="Times New Roman" w:hAnsi="Times New Roman"/>
          <w:sz w:val="28"/>
        </w:rPr>
        <w:t>3,89</w:t>
      </w:r>
      <w:r>
        <w:rPr>
          <w:rFonts w:ascii="Times New Roman" w:hAnsi="Times New Roman"/>
          <w:sz w:val="28"/>
        </w:rPr>
        <w:t xml:space="preserve"> млн. рублей, на 2022 год освоение инвестиций запланировано не</w:t>
      </w:r>
      <w:r>
        <w:rPr>
          <w:rFonts w:ascii="Times New Roman" w:hAnsi="Times New Roman"/>
          <w:sz w:val="28"/>
        </w:rPr>
        <w:t xml:space="preserve"> было. Однако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за 5 месяцев текущего года предприятием фактически освоено 5,685 млн. рублей.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предприятии действуют и реализуются с конечным сроком выполнения в 2024 году следующие проекты: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оптимизация затрат и расходов по энергопотреблению;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модерниз</w:t>
      </w:r>
      <w:r>
        <w:rPr>
          <w:rFonts w:ascii="Times New Roman" w:hAnsi="Times New Roman"/>
          <w:sz w:val="28"/>
        </w:rPr>
        <w:t>ация производства и расширение производственной мощности;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благоустройство здания и прилегающей территории;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расширение рынка сбыта готовой продукции.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ООО «НПП «Плитка-Арти» в рамках проекта по оптимизации расходов энергопотребления, в 2021году</w:t>
      </w:r>
      <w:r>
        <w:rPr>
          <w:rFonts w:ascii="Times New Roman" w:hAnsi="Times New Roman"/>
          <w:sz w:val="28"/>
        </w:rPr>
        <w:t xml:space="preserve"> по договору лизинга </w:t>
      </w:r>
      <w:proofErr w:type="gramStart"/>
      <w:r>
        <w:rPr>
          <w:rFonts w:ascii="Times New Roman" w:hAnsi="Times New Roman"/>
          <w:sz w:val="28"/>
        </w:rPr>
        <w:t>приобретен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газопоршневой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электроагрегат</w:t>
      </w:r>
      <w:proofErr w:type="spellEnd"/>
      <w:r>
        <w:rPr>
          <w:rFonts w:ascii="Times New Roman" w:hAnsi="Times New Roman"/>
          <w:sz w:val="28"/>
        </w:rPr>
        <w:t xml:space="preserve">; заключены договоры на изготовление технических условий по </w:t>
      </w:r>
      <w:proofErr w:type="spellStart"/>
      <w:r>
        <w:rPr>
          <w:rFonts w:ascii="Times New Roman" w:hAnsi="Times New Roman"/>
          <w:sz w:val="28"/>
        </w:rPr>
        <w:t>газоприсоединению</w:t>
      </w:r>
      <w:proofErr w:type="spellEnd"/>
      <w:r>
        <w:rPr>
          <w:rFonts w:ascii="Times New Roman" w:hAnsi="Times New Roman"/>
          <w:sz w:val="28"/>
        </w:rPr>
        <w:t xml:space="preserve"> и присоединения к электрическим сетям. Ведутся работы по присоединению предприятия к газораспределительным сетям.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</w:t>
      </w:r>
      <w:r>
        <w:rPr>
          <w:rFonts w:ascii="Times New Roman" w:hAnsi="Times New Roman"/>
          <w:sz w:val="28"/>
        </w:rPr>
        <w:t>асно проекту благоустройства прилегающей территории земельного участка на 2021-2022г.г., в целях повышения уровня сервиса и улучшения качества сбыта и поставки продукции проводится работа по организации парковочной площадки площадью 975 м</w:t>
      </w:r>
      <w:proofErr w:type="gramStart"/>
      <w:r>
        <w:rPr>
          <w:rFonts w:ascii="Times New Roman" w:hAnsi="Times New Roman"/>
          <w:sz w:val="28"/>
        </w:rPr>
        <w:t>2</w:t>
      </w:r>
      <w:proofErr w:type="gramEnd"/>
      <w:r>
        <w:rPr>
          <w:rFonts w:ascii="Times New Roman" w:hAnsi="Times New Roman"/>
          <w:sz w:val="28"/>
        </w:rPr>
        <w:t>.Также в рамках п</w:t>
      </w:r>
      <w:r>
        <w:rPr>
          <w:rFonts w:ascii="Times New Roman" w:hAnsi="Times New Roman"/>
          <w:sz w:val="28"/>
        </w:rPr>
        <w:t>роекта благоустройства проводится ремонт фасада здания со сроком окончания в 2022г..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2022-2024 г</w:t>
      </w:r>
      <w:proofErr w:type="gramStart"/>
      <w:r>
        <w:rPr>
          <w:rFonts w:ascii="Times New Roman" w:hAnsi="Times New Roman"/>
          <w:sz w:val="28"/>
        </w:rPr>
        <w:t>.г</w:t>
      </w:r>
      <w:proofErr w:type="gramEnd"/>
      <w:r>
        <w:rPr>
          <w:rFonts w:ascii="Times New Roman" w:hAnsi="Times New Roman"/>
          <w:sz w:val="28"/>
        </w:rPr>
        <w:t xml:space="preserve"> в рамках инвестиционного проекта по модернизации производства и расширения производственной мощности планируется приобретение нового оборудования (печь тон</w:t>
      </w:r>
      <w:r>
        <w:rPr>
          <w:rFonts w:ascii="Times New Roman" w:hAnsi="Times New Roman"/>
          <w:sz w:val="28"/>
        </w:rPr>
        <w:t xml:space="preserve">нельная, вакуумная установка, аппарат для химической полировки стекла, промышленные принтеры для керамической печати) примерной стоимостью 22,8 млн. рублей. В целях совершенствования технологических процессов и расширения производственной мощности ведется </w:t>
      </w:r>
      <w:r>
        <w:rPr>
          <w:rFonts w:ascii="Times New Roman" w:hAnsi="Times New Roman"/>
          <w:sz w:val="28"/>
        </w:rPr>
        <w:t>ремонт ранее пустовавших и не задействованных производственных помещений общей площадью 3500 м</w:t>
      </w:r>
      <w:proofErr w:type="gramStart"/>
      <w:r>
        <w:rPr>
          <w:rFonts w:ascii="Times New Roman" w:hAnsi="Times New Roman"/>
          <w:sz w:val="28"/>
        </w:rPr>
        <w:t>2</w:t>
      </w:r>
      <w:proofErr w:type="gramEnd"/>
      <w:r>
        <w:rPr>
          <w:rFonts w:ascii="Times New Roman" w:hAnsi="Times New Roman"/>
          <w:sz w:val="28"/>
        </w:rPr>
        <w:t>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расширения рынка сбыта готовой продукции и улучшения услуг по доставки продукции до Покупателя планируется расширение транспортного цеха, путем приобр</w:t>
      </w:r>
      <w:r>
        <w:rPr>
          <w:rFonts w:ascii="Times New Roman" w:hAnsi="Times New Roman"/>
          <w:sz w:val="28"/>
        </w:rPr>
        <w:t>етения грузовых.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июле 2020 года ООО «</w:t>
      </w:r>
      <w:proofErr w:type="spellStart"/>
      <w:r>
        <w:rPr>
          <w:rFonts w:ascii="Times New Roman" w:hAnsi="Times New Roman"/>
          <w:sz w:val="28"/>
        </w:rPr>
        <w:t>Техмашсервис</w:t>
      </w:r>
      <w:proofErr w:type="spellEnd"/>
      <w:r>
        <w:rPr>
          <w:rFonts w:ascii="Times New Roman" w:hAnsi="Times New Roman"/>
          <w:sz w:val="28"/>
        </w:rPr>
        <w:t xml:space="preserve">» получило статус резидента ТОСЭР «Донецк» и приступило к реализации инвестиционного проекта «Создание в </w:t>
      </w:r>
      <w:proofErr w:type="gramStart"/>
      <w:r>
        <w:rPr>
          <w:rFonts w:ascii="Times New Roman" w:hAnsi="Times New Roman"/>
          <w:sz w:val="28"/>
        </w:rPr>
        <w:t>г</w:t>
      </w:r>
      <w:proofErr w:type="gramEnd"/>
      <w:r>
        <w:rPr>
          <w:rFonts w:ascii="Times New Roman" w:hAnsi="Times New Roman"/>
          <w:sz w:val="28"/>
        </w:rPr>
        <w:t>. Донецке Ростовской области завода по механической обработке металлических изделий (головок поршня</w:t>
      </w:r>
      <w:r>
        <w:rPr>
          <w:rFonts w:ascii="Times New Roman" w:hAnsi="Times New Roman"/>
          <w:sz w:val="28"/>
        </w:rPr>
        <w:t xml:space="preserve"> 4-5Д49.22.01-2)». 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инвестиции не осваивались, в дальнейшем  освоение капитальных вложений не планируется.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марте 2021 год</w:t>
      </w:r>
      <w:proofErr w:type="gramStart"/>
      <w:r>
        <w:rPr>
          <w:rFonts w:ascii="Times New Roman" w:hAnsi="Times New Roman"/>
          <w:sz w:val="28"/>
        </w:rPr>
        <w:t>а ООО</w:t>
      </w:r>
      <w:proofErr w:type="gramEnd"/>
      <w:r>
        <w:rPr>
          <w:rFonts w:ascii="Times New Roman" w:hAnsi="Times New Roman"/>
          <w:sz w:val="28"/>
        </w:rPr>
        <w:t xml:space="preserve"> «Калина» получили статус резидента ТОСЭР «Донецк» и приступили к реализации инвестиционного проекта «Организация це</w:t>
      </w:r>
      <w:r>
        <w:rPr>
          <w:rFonts w:ascii="Times New Roman" w:hAnsi="Times New Roman"/>
          <w:sz w:val="28"/>
        </w:rPr>
        <w:t>ха по производству спецодежды». В 2021 году освоено 318 тыс. рублей инвестиций на приобретение оборудования для производства. Запланированный объем инвестиций в основной капитал на 2022 год составляет 2,22 млн. рублей. За 5 месяцев текущего года предприяти</w:t>
      </w:r>
      <w:r>
        <w:rPr>
          <w:rFonts w:ascii="Times New Roman" w:hAnsi="Times New Roman"/>
          <w:sz w:val="28"/>
        </w:rPr>
        <w:t>ем освоено 0,123 млн. рублей.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июля 2021 года ООО «</w:t>
      </w:r>
      <w:proofErr w:type="spellStart"/>
      <w:r>
        <w:rPr>
          <w:rFonts w:ascii="Times New Roman" w:hAnsi="Times New Roman"/>
          <w:sz w:val="28"/>
        </w:rPr>
        <w:t>Хэппи</w:t>
      </w:r>
      <w:proofErr w:type="spellEnd"/>
      <w:proofErr w:type="gramStart"/>
      <w:r>
        <w:rPr>
          <w:rFonts w:ascii="Times New Roman" w:hAnsi="Times New Roman"/>
          <w:sz w:val="28"/>
        </w:rPr>
        <w:t xml:space="preserve"> Т</w:t>
      </w:r>
      <w:proofErr w:type="gramEnd"/>
      <w:r>
        <w:rPr>
          <w:rFonts w:ascii="Times New Roman" w:hAnsi="Times New Roman"/>
          <w:sz w:val="28"/>
        </w:rPr>
        <w:t xml:space="preserve">ех </w:t>
      </w:r>
      <w:proofErr w:type="spellStart"/>
      <w:r>
        <w:rPr>
          <w:rFonts w:ascii="Times New Roman" w:hAnsi="Times New Roman"/>
          <w:sz w:val="28"/>
        </w:rPr>
        <w:t>Компани</w:t>
      </w:r>
      <w:proofErr w:type="spellEnd"/>
      <w:r>
        <w:rPr>
          <w:rFonts w:ascii="Times New Roman" w:hAnsi="Times New Roman"/>
          <w:sz w:val="28"/>
        </w:rPr>
        <w:t>» приступил к реализации инвестиционного проекта  на ТОСЭР «Донецк». В 2021 году освоено 6,5 млн. рублей капитальных вложений (приобретено здание и земельный участок, а также оборудование</w:t>
      </w:r>
      <w:r>
        <w:rPr>
          <w:rFonts w:ascii="Times New Roman" w:hAnsi="Times New Roman"/>
          <w:sz w:val="28"/>
        </w:rPr>
        <w:t>, необходимое для реализации инвестиционного проекта). На 2022 год запланировано освоение 13,3 млн. рублей инвестиций. За 5 месяцев текущего года предприятием освоено 0,464 млн. рублей.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конце 2021 года еще один инвестор ООО «Юг Декор» получил статус рези</w:t>
      </w:r>
      <w:r>
        <w:rPr>
          <w:rFonts w:ascii="Times New Roman" w:hAnsi="Times New Roman"/>
          <w:sz w:val="28"/>
        </w:rPr>
        <w:t xml:space="preserve">дента ТОСЭР «Донецк» и с 2022 года приступил к реализации инвестиционного проекта. Запланированный объем инвестиций на 2022 год – 1,26 млн. рублей, на 2023 год – 1,27 млн. </w:t>
      </w:r>
      <w:proofErr w:type="spellStart"/>
      <w:r>
        <w:rPr>
          <w:rFonts w:ascii="Times New Roman" w:hAnsi="Times New Roman"/>
          <w:sz w:val="28"/>
        </w:rPr>
        <w:t>рублей</w:t>
      </w:r>
      <w:proofErr w:type="gramStart"/>
      <w:r>
        <w:rPr>
          <w:rFonts w:ascii="Times New Roman" w:hAnsi="Times New Roman"/>
          <w:sz w:val="28"/>
        </w:rPr>
        <w:t>.З</w:t>
      </w:r>
      <w:proofErr w:type="gramEnd"/>
      <w:r>
        <w:rPr>
          <w:rFonts w:ascii="Times New Roman" w:hAnsi="Times New Roman"/>
          <w:sz w:val="28"/>
        </w:rPr>
        <w:t>а</w:t>
      </w:r>
      <w:proofErr w:type="spellEnd"/>
      <w:r>
        <w:rPr>
          <w:rFonts w:ascii="Times New Roman" w:hAnsi="Times New Roman"/>
          <w:sz w:val="28"/>
        </w:rPr>
        <w:t xml:space="preserve"> 5 месяцев текущего года предприятием инвестиции не осваивались.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</w:t>
      </w:r>
      <w:r>
        <w:rPr>
          <w:rFonts w:ascii="Times New Roman" w:hAnsi="Times New Roman"/>
          <w:sz w:val="28"/>
        </w:rPr>
        <w:t xml:space="preserve">рии города Донецка предварительно, с учетом </w:t>
      </w:r>
      <w:proofErr w:type="gramStart"/>
      <w:r>
        <w:rPr>
          <w:rFonts w:ascii="Times New Roman" w:hAnsi="Times New Roman"/>
          <w:sz w:val="28"/>
        </w:rPr>
        <w:t>сроков получения статуса резидентов территории опережающего социально-экономического развития</w:t>
      </w:r>
      <w:proofErr w:type="gramEnd"/>
      <w:r>
        <w:rPr>
          <w:rFonts w:ascii="Times New Roman" w:hAnsi="Times New Roman"/>
          <w:sz w:val="28"/>
        </w:rPr>
        <w:t xml:space="preserve"> рассматривается возможность начала реализации инвестиционных проектов на бывших производственных площадях ООО «</w:t>
      </w:r>
      <w:proofErr w:type="spellStart"/>
      <w:r>
        <w:rPr>
          <w:rFonts w:ascii="Times New Roman" w:hAnsi="Times New Roman"/>
          <w:sz w:val="28"/>
        </w:rPr>
        <w:t>Донэкс</w:t>
      </w:r>
      <w:proofErr w:type="spellEnd"/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762071" w:rsidRDefault="00761C0F" w:rsidP="00761C0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Проводимые мероприятия будет способствовать значительному росту новых рабочих мест, освоению инвестиций и восстановлению экономики города.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Администрацией города Донецка организовано активное продвижение информации о возможностях ТОСЭР «Донецк», о префере</w:t>
      </w:r>
      <w:r>
        <w:rPr>
          <w:rFonts w:ascii="Times New Roman" w:hAnsi="Times New Roman"/>
          <w:sz w:val="28"/>
        </w:rPr>
        <w:t xml:space="preserve">нциях, предусмотренных для  потенциальных резидентов. </w:t>
      </w:r>
    </w:p>
    <w:p w:rsidR="00762071" w:rsidRDefault="00761C0F" w:rsidP="00761C0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Информация о ТОСЭР «Донецк» размещена на официальных сайтах Правительства Ростовской области, минэкономразвития области (с вынесением баннера «ТОР Донецк» на главную страницу), Администрации города  До</w:t>
      </w:r>
      <w:r>
        <w:rPr>
          <w:rFonts w:ascii="Times New Roman" w:hAnsi="Times New Roman"/>
          <w:sz w:val="28"/>
        </w:rPr>
        <w:t>нецка. Информационные материалы содержат нормативные акты и справочную информацию для инвесторов, а также  проиллюстрированы слайдами.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Администрацией города Донецка разработан и размещен на въезде в город баннер, информирующий о присвоении городу статуса </w:t>
      </w:r>
      <w:r>
        <w:rPr>
          <w:rFonts w:ascii="Times New Roman" w:hAnsi="Times New Roman"/>
          <w:sz w:val="28"/>
        </w:rPr>
        <w:t>ТОСЭР и налоговых льготах для инвесторов.</w:t>
      </w:r>
    </w:p>
    <w:p w:rsidR="00762071" w:rsidRDefault="00761C0F" w:rsidP="00761C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имеются договоренности с потенциальными резидентами, изъявившими желание реализовывать инвестиционные проекты на территории ТОСЭР «Донецк», что позволит увеличить инвестиции в основной капитал без</w:t>
      </w:r>
      <w:r>
        <w:rPr>
          <w:rFonts w:ascii="Times New Roman" w:hAnsi="Times New Roman"/>
          <w:sz w:val="28"/>
        </w:rPr>
        <w:t xml:space="preserve"> учета бюджетных средств. 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В 2025 году планируемый объем инвестиций по малым предприятиям              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 xml:space="preserve">) составит </w:t>
      </w:r>
      <w:r>
        <w:rPr>
          <w:rFonts w:ascii="Times New Roman" w:hAnsi="Times New Roman"/>
          <w:b/>
          <w:sz w:val="28"/>
        </w:rPr>
        <w:t xml:space="preserve">435,22 </w:t>
      </w:r>
      <w:r>
        <w:rPr>
          <w:rFonts w:ascii="Times New Roman" w:hAnsi="Times New Roman"/>
          <w:sz w:val="28"/>
        </w:rPr>
        <w:t>млн. рублей.</w:t>
      </w:r>
    </w:p>
    <w:p w:rsidR="00762071" w:rsidRDefault="00761C0F" w:rsidP="00761C0F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В 2021 – 2025 годах инвестиции на средних предприятиях отсутствуют. </w:t>
      </w:r>
    </w:p>
    <w:p w:rsidR="00762071" w:rsidRDefault="00762071" w:rsidP="00761C0F">
      <w:pPr>
        <w:tabs>
          <w:tab w:val="left" w:pos="381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62071" w:rsidRDefault="00762071">
      <w:pPr>
        <w:tabs>
          <w:tab w:val="left" w:pos="3818"/>
        </w:tabs>
        <w:spacing w:after="0"/>
        <w:jc w:val="both"/>
        <w:rPr>
          <w:rFonts w:ascii="Times New Roman" w:hAnsi="Times New Roman"/>
          <w:sz w:val="28"/>
        </w:rPr>
      </w:pPr>
    </w:p>
    <w:p w:rsidR="00762071" w:rsidRDefault="00762071">
      <w:pPr>
        <w:tabs>
          <w:tab w:val="left" w:pos="3818"/>
        </w:tabs>
        <w:spacing w:before="57" w:after="0"/>
        <w:jc w:val="both"/>
        <w:rPr>
          <w:rFonts w:ascii="Times New Roman" w:hAnsi="Times New Roman"/>
          <w:sz w:val="28"/>
        </w:rPr>
      </w:pPr>
    </w:p>
    <w:p w:rsidR="00762071" w:rsidRDefault="00762071">
      <w:pPr>
        <w:tabs>
          <w:tab w:val="left" w:pos="3818"/>
        </w:tabs>
        <w:spacing w:before="57" w:after="0"/>
        <w:jc w:val="both"/>
        <w:rPr>
          <w:rFonts w:ascii="Times New Roman" w:hAnsi="Times New Roman"/>
          <w:sz w:val="28"/>
        </w:rPr>
      </w:pPr>
    </w:p>
    <w:p w:rsidR="00762071" w:rsidRDefault="00761C0F" w:rsidP="00761C0F">
      <w:pPr>
        <w:tabs>
          <w:tab w:val="left" w:pos="381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  <w:r>
        <w:rPr>
          <w:rFonts w:ascii="Times New Roman" w:hAnsi="Times New Roman"/>
          <w:sz w:val="28"/>
        </w:rPr>
        <w:t>Администрации</w:t>
      </w:r>
    </w:p>
    <w:p w:rsidR="00762071" w:rsidRDefault="00761C0F" w:rsidP="00761C0F">
      <w:pPr>
        <w:tabs>
          <w:tab w:val="left" w:pos="381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города Донецка </w:t>
      </w:r>
      <w:r>
        <w:rPr>
          <w:rFonts w:ascii="Times New Roman" w:hAnsi="Times New Roman"/>
          <w:sz w:val="28"/>
        </w:rPr>
        <w:t xml:space="preserve">по </w:t>
      </w:r>
      <w:proofErr w:type="gramStart"/>
      <w:r>
        <w:rPr>
          <w:rFonts w:ascii="Times New Roman" w:hAnsi="Times New Roman"/>
          <w:sz w:val="28"/>
        </w:rPr>
        <w:t>территориальному</w:t>
      </w:r>
      <w:proofErr w:type="gramEnd"/>
    </w:p>
    <w:p w:rsidR="00762071" w:rsidRDefault="00761C0F" w:rsidP="00761C0F">
      <w:pPr>
        <w:tabs>
          <w:tab w:val="left" w:pos="381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развитию – главный архитектор                                                                     О.А.Лавров</w:t>
      </w:r>
    </w:p>
    <w:p w:rsidR="00762071" w:rsidRDefault="00762071" w:rsidP="00761C0F">
      <w:pPr>
        <w:tabs>
          <w:tab w:val="left" w:pos="3818"/>
        </w:tabs>
        <w:spacing w:after="0" w:line="240" w:lineRule="auto"/>
        <w:jc w:val="both"/>
        <w:rPr>
          <w:rFonts w:ascii="Times New Roman" w:hAnsi="Times New Roman"/>
          <w:sz w:val="16"/>
        </w:rPr>
      </w:pPr>
    </w:p>
    <w:p w:rsidR="00762071" w:rsidRDefault="00762071" w:rsidP="00761C0F">
      <w:pPr>
        <w:tabs>
          <w:tab w:val="left" w:pos="3818"/>
        </w:tabs>
        <w:spacing w:after="0" w:line="240" w:lineRule="auto"/>
        <w:jc w:val="both"/>
      </w:pPr>
    </w:p>
    <w:p w:rsidR="00762071" w:rsidRDefault="00762071" w:rsidP="00761C0F">
      <w:pPr>
        <w:tabs>
          <w:tab w:val="left" w:pos="3818"/>
        </w:tabs>
        <w:spacing w:after="0" w:line="240" w:lineRule="auto"/>
        <w:jc w:val="both"/>
      </w:pPr>
    </w:p>
    <w:p w:rsidR="00762071" w:rsidRDefault="00762071">
      <w:pPr>
        <w:tabs>
          <w:tab w:val="left" w:pos="3818"/>
        </w:tabs>
        <w:spacing w:after="0"/>
        <w:jc w:val="both"/>
      </w:pPr>
    </w:p>
    <w:p w:rsidR="00761C0F" w:rsidRDefault="00761C0F">
      <w:pPr>
        <w:tabs>
          <w:tab w:val="left" w:pos="3818"/>
        </w:tabs>
        <w:spacing w:after="0"/>
        <w:jc w:val="both"/>
      </w:pPr>
    </w:p>
    <w:p w:rsidR="00761C0F" w:rsidRDefault="00761C0F">
      <w:pPr>
        <w:tabs>
          <w:tab w:val="left" w:pos="3818"/>
        </w:tabs>
        <w:spacing w:after="0"/>
        <w:jc w:val="both"/>
      </w:pPr>
    </w:p>
    <w:p w:rsidR="00761C0F" w:rsidRDefault="00761C0F">
      <w:pPr>
        <w:tabs>
          <w:tab w:val="left" w:pos="3818"/>
        </w:tabs>
        <w:spacing w:after="0"/>
        <w:jc w:val="both"/>
      </w:pPr>
    </w:p>
    <w:p w:rsidR="00761C0F" w:rsidRDefault="00761C0F">
      <w:pPr>
        <w:tabs>
          <w:tab w:val="left" w:pos="3818"/>
        </w:tabs>
        <w:spacing w:after="0"/>
        <w:jc w:val="both"/>
      </w:pPr>
    </w:p>
    <w:p w:rsidR="00761C0F" w:rsidRDefault="00761C0F">
      <w:pPr>
        <w:tabs>
          <w:tab w:val="left" w:pos="3818"/>
        </w:tabs>
        <w:spacing w:after="0"/>
        <w:jc w:val="both"/>
      </w:pPr>
    </w:p>
    <w:p w:rsidR="00761C0F" w:rsidRDefault="00761C0F">
      <w:pPr>
        <w:tabs>
          <w:tab w:val="left" w:pos="3818"/>
        </w:tabs>
        <w:spacing w:after="0"/>
        <w:jc w:val="both"/>
      </w:pPr>
    </w:p>
    <w:p w:rsidR="00762071" w:rsidRDefault="00761C0F">
      <w:pPr>
        <w:tabs>
          <w:tab w:val="left" w:pos="3818"/>
        </w:tabs>
        <w:spacing w:after="0"/>
        <w:jc w:val="both"/>
      </w:pPr>
      <w:r>
        <w:rPr>
          <w:rFonts w:ascii="Times New Roman" w:hAnsi="Times New Roman"/>
          <w:sz w:val="16"/>
        </w:rPr>
        <w:t xml:space="preserve">Исп. </w:t>
      </w:r>
      <w:proofErr w:type="spellStart"/>
      <w:r>
        <w:rPr>
          <w:rFonts w:ascii="Times New Roman" w:hAnsi="Times New Roman"/>
          <w:sz w:val="16"/>
        </w:rPr>
        <w:t>Кобзистова</w:t>
      </w:r>
      <w:proofErr w:type="spellEnd"/>
      <w:r>
        <w:rPr>
          <w:rFonts w:ascii="Times New Roman" w:hAnsi="Times New Roman"/>
          <w:sz w:val="16"/>
        </w:rPr>
        <w:t xml:space="preserve"> Татьяна Геннадиевна</w:t>
      </w:r>
    </w:p>
    <w:p w:rsidR="00762071" w:rsidRDefault="00761C0F">
      <w:pPr>
        <w:tabs>
          <w:tab w:val="left" w:pos="3818"/>
        </w:tabs>
        <w:spacing w:after="0"/>
        <w:jc w:val="both"/>
      </w:pPr>
      <w:r>
        <w:rPr>
          <w:rFonts w:ascii="Times New Roman" w:hAnsi="Times New Roman"/>
          <w:sz w:val="16"/>
        </w:rPr>
        <w:t>8 (86368) 2 25 00</w:t>
      </w:r>
    </w:p>
    <w:sectPr w:rsidR="00762071" w:rsidSect="00762071">
      <w:pgSz w:w="11906" w:h="16838"/>
      <w:pgMar w:top="567" w:right="566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071"/>
    <w:rsid w:val="00761C0F"/>
    <w:rsid w:val="00762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62071"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rsid w:val="0076207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6207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6207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6207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6207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62071"/>
    <w:rPr>
      <w:rFonts w:ascii="Calibri" w:hAnsi="Calibri"/>
      <w:sz w:val="22"/>
    </w:rPr>
  </w:style>
  <w:style w:type="paragraph" w:styleId="a3">
    <w:name w:val="index heading"/>
    <w:basedOn w:val="a"/>
    <w:link w:val="a4"/>
    <w:rsid w:val="00762071"/>
  </w:style>
  <w:style w:type="character" w:customStyle="1" w:styleId="a4">
    <w:name w:val="Указатель Знак"/>
    <w:basedOn w:val="1"/>
    <w:link w:val="a3"/>
    <w:rsid w:val="00762071"/>
  </w:style>
  <w:style w:type="paragraph" w:styleId="21">
    <w:name w:val="toc 2"/>
    <w:next w:val="a"/>
    <w:link w:val="22"/>
    <w:uiPriority w:val="39"/>
    <w:rsid w:val="0076207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6207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6207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6207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6207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6207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6207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6207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62071"/>
    <w:rPr>
      <w:rFonts w:ascii="XO Thames" w:hAnsi="XO Thames"/>
      <w:b/>
      <w:sz w:val="26"/>
    </w:rPr>
  </w:style>
  <w:style w:type="paragraph" w:customStyle="1" w:styleId="12">
    <w:name w:val="Строгий1"/>
    <w:basedOn w:val="13"/>
    <w:link w:val="a5"/>
    <w:rsid w:val="00762071"/>
    <w:rPr>
      <w:b/>
    </w:rPr>
  </w:style>
  <w:style w:type="character" w:styleId="a5">
    <w:name w:val="Strong"/>
    <w:basedOn w:val="14"/>
    <w:link w:val="12"/>
    <w:rsid w:val="00762071"/>
    <w:rPr>
      <w:b/>
    </w:rPr>
  </w:style>
  <w:style w:type="paragraph" w:customStyle="1" w:styleId="15">
    <w:name w:val="Основной шрифт абзаца1"/>
    <w:link w:val="a6"/>
    <w:rsid w:val="00762071"/>
  </w:style>
  <w:style w:type="paragraph" w:styleId="a6">
    <w:name w:val="List"/>
    <w:basedOn w:val="a7"/>
    <w:link w:val="a8"/>
    <w:rsid w:val="00762071"/>
  </w:style>
  <w:style w:type="character" w:customStyle="1" w:styleId="a8">
    <w:name w:val="Список Знак"/>
    <w:basedOn w:val="a9"/>
    <w:link w:val="a6"/>
    <w:rsid w:val="00762071"/>
  </w:style>
  <w:style w:type="paragraph" w:customStyle="1" w:styleId="aa">
    <w:name w:val="Заголовок"/>
    <w:basedOn w:val="a"/>
    <w:next w:val="a7"/>
    <w:link w:val="ab"/>
    <w:rsid w:val="0076207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b">
    <w:name w:val="Заголовок"/>
    <w:basedOn w:val="1"/>
    <w:link w:val="aa"/>
    <w:rsid w:val="00762071"/>
    <w:rPr>
      <w:rFonts w:ascii="Liberation Sans" w:hAnsi="Liberation Sans"/>
      <w:sz w:val="28"/>
    </w:rPr>
  </w:style>
  <w:style w:type="paragraph" w:styleId="a7">
    <w:name w:val="Body Text"/>
    <w:basedOn w:val="a"/>
    <w:link w:val="a9"/>
    <w:rsid w:val="00762071"/>
    <w:pPr>
      <w:spacing w:after="140"/>
    </w:pPr>
  </w:style>
  <w:style w:type="character" w:customStyle="1" w:styleId="a9">
    <w:name w:val="Основной текст Знак"/>
    <w:basedOn w:val="1"/>
    <w:link w:val="a7"/>
    <w:rsid w:val="00762071"/>
  </w:style>
  <w:style w:type="paragraph" w:styleId="31">
    <w:name w:val="toc 3"/>
    <w:next w:val="a"/>
    <w:link w:val="32"/>
    <w:uiPriority w:val="39"/>
    <w:rsid w:val="0076207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62071"/>
    <w:rPr>
      <w:rFonts w:ascii="XO Thames" w:hAnsi="XO Thames"/>
      <w:sz w:val="28"/>
    </w:rPr>
  </w:style>
  <w:style w:type="paragraph" w:customStyle="1" w:styleId="16">
    <w:name w:val="Указатель1"/>
    <w:basedOn w:val="a"/>
    <w:link w:val="17"/>
    <w:rsid w:val="00762071"/>
  </w:style>
  <w:style w:type="character" w:customStyle="1" w:styleId="17">
    <w:name w:val="Указатель1"/>
    <w:basedOn w:val="1"/>
    <w:link w:val="16"/>
    <w:rsid w:val="00762071"/>
  </w:style>
  <w:style w:type="character" w:customStyle="1" w:styleId="50">
    <w:name w:val="Заголовок 5 Знак"/>
    <w:link w:val="5"/>
    <w:rsid w:val="0076207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62071"/>
    <w:rPr>
      <w:rFonts w:ascii="XO Thames" w:hAnsi="XO Thames"/>
      <w:b/>
      <w:sz w:val="32"/>
    </w:rPr>
  </w:style>
  <w:style w:type="paragraph" w:customStyle="1" w:styleId="18">
    <w:name w:val="Гиперссылка1"/>
    <w:link w:val="ac"/>
    <w:rsid w:val="00762071"/>
    <w:rPr>
      <w:color w:val="0000FF"/>
      <w:u w:val="single"/>
    </w:rPr>
  </w:style>
  <w:style w:type="character" w:styleId="ac">
    <w:name w:val="Hyperlink"/>
    <w:link w:val="18"/>
    <w:rsid w:val="00762071"/>
    <w:rPr>
      <w:color w:val="0000FF"/>
      <w:u w:val="single"/>
    </w:rPr>
  </w:style>
  <w:style w:type="paragraph" w:customStyle="1" w:styleId="Footnote">
    <w:name w:val="Footnote"/>
    <w:link w:val="Footnote0"/>
    <w:rsid w:val="0076207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62071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762071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62071"/>
    <w:rPr>
      <w:rFonts w:ascii="XO Thames" w:hAnsi="XO Thames"/>
      <w:b/>
      <w:sz w:val="28"/>
    </w:rPr>
  </w:style>
  <w:style w:type="paragraph" w:styleId="ad">
    <w:name w:val="Normal (Web)"/>
    <w:basedOn w:val="a"/>
    <w:link w:val="ae"/>
    <w:rsid w:val="0076207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ae">
    <w:name w:val="Обычный (веб) Знак"/>
    <w:basedOn w:val="1"/>
    <w:link w:val="ad"/>
    <w:rsid w:val="00762071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76207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6207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6207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6207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6207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6207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6207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62071"/>
    <w:rPr>
      <w:rFonts w:ascii="XO Thames" w:hAnsi="XO Thames"/>
      <w:sz w:val="28"/>
    </w:rPr>
  </w:style>
  <w:style w:type="paragraph" w:styleId="af">
    <w:name w:val="caption"/>
    <w:basedOn w:val="a"/>
    <w:link w:val="af0"/>
    <w:rsid w:val="00762071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sid w:val="00762071"/>
    <w:rPr>
      <w:i/>
      <w:sz w:val="24"/>
    </w:rPr>
  </w:style>
  <w:style w:type="paragraph" w:styleId="af1">
    <w:name w:val="Subtitle"/>
    <w:next w:val="a"/>
    <w:link w:val="af2"/>
    <w:uiPriority w:val="11"/>
    <w:qFormat/>
    <w:rsid w:val="00762071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76207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rsid w:val="0076207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76207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62071"/>
    <w:rPr>
      <w:rFonts w:ascii="XO Thames" w:hAnsi="XO Thames"/>
      <w:b/>
      <w:sz w:val="24"/>
    </w:rPr>
  </w:style>
  <w:style w:type="paragraph" w:customStyle="1" w:styleId="13">
    <w:name w:val="Основной шрифт абзаца1"/>
    <w:link w:val="14"/>
    <w:rsid w:val="00762071"/>
  </w:style>
  <w:style w:type="character" w:customStyle="1" w:styleId="14">
    <w:name w:val="Основной шрифт абзаца1"/>
    <w:link w:val="13"/>
    <w:rsid w:val="00762071"/>
  </w:style>
  <w:style w:type="character" w:customStyle="1" w:styleId="20">
    <w:name w:val="Заголовок 2 Знак"/>
    <w:link w:val="2"/>
    <w:rsid w:val="00762071"/>
    <w:rPr>
      <w:rFonts w:ascii="XO Thames" w:hAnsi="XO Thames"/>
      <w:b/>
      <w:sz w:val="28"/>
    </w:rPr>
  </w:style>
  <w:style w:type="paragraph" w:customStyle="1" w:styleId="Caption">
    <w:name w:val="Caption"/>
    <w:basedOn w:val="a"/>
    <w:link w:val="Caption0"/>
    <w:rsid w:val="00762071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762071"/>
    <w:rPr>
      <w:i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2125</Words>
  <Characters>12113</Characters>
  <Application>Microsoft Office Word</Application>
  <DocSecurity>0</DocSecurity>
  <Lines>100</Lines>
  <Paragraphs>28</Paragraphs>
  <ScaleCrop>false</ScaleCrop>
  <Company>Администрация города Донецка</Company>
  <LinksUpToDate>false</LinksUpToDate>
  <CharactersWithSpaces>14210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Kab-22-1</cp:lastModifiedBy>
  <cp:revision>3</cp:revision>
  <dcterms:created xsi:type="dcterms:W3CDTF">2022-06-06T14:39:00Z</dcterms:created>
  <dcterms:modified xsi:type="dcterms:W3CDTF">2022-06-06T14:41:00Z</dcterms:modified>
</cp:coreProperties>
</file>