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both"/>
        <w:rPr>
          <w:rFonts w:ascii="Times New Roman" w:hAnsi="Times New Roman"/>
          <w:color w:val="FF0000"/>
          <w:sz w:val="28"/>
        </w:rPr>
      </w:pPr>
    </w:p>
    <w:p w14:paraId="02000000">
      <w:pPr>
        <w:ind/>
        <w:jc w:val="both"/>
        <w:rPr>
          <w:rFonts w:ascii="Times New Roman" w:hAnsi="Times New Roman"/>
          <w:color w:val="FF0000"/>
          <w:sz w:val="28"/>
        </w:rPr>
      </w:pPr>
    </w:p>
    <w:p w14:paraId="03000000">
      <w:pPr>
        <w:ind/>
        <w:jc w:val="both"/>
        <w:rPr>
          <w:rFonts w:ascii="Times New Roman" w:hAnsi="Times New Roman"/>
          <w:color w:val="FF0000"/>
          <w:sz w:val="28"/>
        </w:rPr>
      </w:pPr>
    </w:p>
    <w:tbl>
      <w:tblPr>
        <w:tblStyle w:val="Style_1"/>
        <w:tblInd w:type="dxa" w:w="-106"/>
        <w:tblLayout w:type="fixed"/>
      </w:tblPr>
      <w:tblGrid>
        <w:gridCol w:w="5141"/>
        <w:gridCol w:w="5171"/>
      </w:tblGrid>
      <w:tr>
        <w:trPr>
          <w:trHeight w:hRule="atLeast" w:val="202"/>
        </w:trPr>
        <w:tc>
          <w:tcPr>
            <w:tcW w:type="dxa" w:w="514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00000">
            <w:pPr>
              <w:pStyle w:val="Style_2"/>
              <w:spacing w:after="0" w:line="240" w:lineRule="auto"/>
              <w:ind w:firstLine="567" w:left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17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00000">
            <w:pPr>
              <w:pStyle w:val="Style_2"/>
              <w:spacing w:after="0" w:line="240" w:lineRule="auto"/>
              <w:ind w:firstLine="567" w:left="0"/>
              <w:jc w:val="center"/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</w:tc>
      </w:tr>
      <w:tr>
        <w:trPr>
          <w:trHeight w:hRule="atLeast" w:val="1441"/>
        </w:trPr>
        <w:tc>
          <w:tcPr>
            <w:tcW w:type="dxa" w:w="514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pStyle w:val="Style_2"/>
              <w:spacing w:after="0" w:line="240" w:lineRule="auto"/>
              <w:ind w:firstLine="567" w:left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type="dxa" w:w="5171"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pStyle w:val="Style_2"/>
              <w:spacing w:after="0" w:line="240" w:lineRule="auto"/>
              <w:ind/>
              <w:jc w:val="center"/>
              <w:rPr>
                <w:b w:val="0"/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Пояснительная записка к докладу о достигнутых значениях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показателей эффективности деятельности органов местного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самоуправления города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Донецка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за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 xml:space="preserve"> отчетный 2022 год </w:t>
            </w:r>
            <w:r>
              <w:rPr>
                <w:rFonts w:ascii="Times New Roman" w:hAnsi="Times New Roman"/>
                <w:b w:val="0"/>
                <w:color w:val="000000"/>
                <w:sz w:val="28"/>
              </w:rPr>
              <w:t>и их планируемых значениях на 3-летний период</w:t>
            </w:r>
          </w:p>
          <w:p w14:paraId="08000000">
            <w:pPr>
              <w:pStyle w:val="Style_2"/>
              <w:spacing w:after="0" w:line="240" w:lineRule="auto"/>
              <w:ind w:firstLine="567" w:left="0"/>
              <w:jc w:val="center"/>
              <w:rPr>
                <w:rFonts w:ascii="Times New Roman" w:hAnsi="Times New Roman"/>
                <w:b w:val="0"/>
                <w:color w:val="000000"/>
                <w:sz w:val="28"/>
              </w:rPr>
            </w:pPr>
          </w:p>
        </w:tc>
      </w:tr>
    </w:tbl>
    <w:p w14:paraId="09000000">
      <w:pPr>
        <w:pStyle w:val="Style_2"/>
        <w:spacing w:after="0" w:line="240" w:lineRule="auto"/>
        <w:ind w:firstLine="567" w:left="0"/>
        <w:jc w:val="both"/>
        <w:rPr>
          <w:rFonts w:ascii="Times New Roman" w:hAnsi="Times New Roman"/>
          <w:b w:val="1"/>
          <w:color w:val="FF0000"/>
          <w:sz w:val="28"/>
        </w:rPr>
      </w:pPr>
    </w:p>
    <w:p w14:paraId="0A000000">
      <w:pPr>
        <w:pStyle w:val="Style_2"/>
        <w:widowControl w:val="0"/>
        <w:spacing w:after="0" w:line="240" w:lineRule="auto"/>
        <w:ind w:firstLine="567" w:left="0"/>
        <w:jc w:val="center"/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B000000">
      <w:pPr>
        <w:pStyle w:val="Style_2"/>
        <w:spacing w:after="0" w:line="240" w:lineRule="auto"/>
        <w:ind w:firstLine="567" w:left="0"/>
        <w:jc w:val="center"/>
        <w:rPr>
          <w:rFonts w:ascii="Times New Roman" w:hAnsi="Times New Roman"/>
          <w:b w:val="1"/>
          <w:color w:val="FF0000"/>
          <w:sz w:val="28"/>
        </w:rPr>
      </w:pPr>
    </w:p>
    <w:p w14:paraId="0C000000">
      <w:pPr>
        <w:spacing w:after="0" w:line="240" w:lineRule="auto"/>
        <w:ind w:firstLine="567" w:left="0"/>
        <w:jc w:val="center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I. Экономическое развитие</w:t>
      </w:r>
    </w:p>
    <w:p w14:paraId="0D000000">
      <w:pPr>
        <w:spacing w:after="0" w:line="240" w:lineRule="auto"/>
        <w:ind w:firstLine="567" w:left="0"/>
        <w:jc w:val="both"/>
        <w:rPr>
          <w:rFonts w:ascii="Times New Roman" w:hAnsi="Times New Roman"/>
          <w:b w:val="1"/>
          <w:color w:val="000000"/>
          <w:sz w:val="28"/>
        </w:rPr>
      </w:pPr>
    </w:p>
    <w:p w14:paraId="0E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1.  Число субъектов малого и среднего предпринимательства в расчете на 10 тыс. человек населения.</w:t>
      </w:r>
    </w:p>
    <w:p w14:paraId="0F000000">
      <w:pPr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Число субъектов малого и среднего предпринимательства в расчете на 10 тыс. человек населения </w:t>
      </w:r>
      <w:r>
        <w:rPr>
          <w:rFonts w:ascii="Times New Roman" w:hAnsi="Times New Roman"/>
          <w:b w:val="0"/>
          <w:sz w:val="28"/>
        </w:rPr>
        <w:t xml:space="preserve">  в 2</w:t>
      </w:r>
      <w:r>
        <w:rPr>
          <w:rFonts w:ascii="Times New Roman" w:hAnsi="Times New Roman"/>
          <w:b w:val="0"/>
          <w:sz w:val="28"/>
        </w:rPr>
        <w:t>021</w:t>
      </w:r>
      <w:r>
        <w:rPr>
          <w:rFonts w:ascii="Times New Roman" w:hAnsi="Times New Roman"/>
          <w:b w:val="0"/>
          <w:sz w:val="28"/>
        </w:rPr>
        <w:t xml:space="preserve"> году – </w:t>
      </w:r>
      <w:r>
        <w:rPr>
          <w:rFonts w:ascii="Times New Roman" w:hAnsi="Times New Roman"/>
          <w:b w:val="0"/>
          <w:sz w:val="28"/>
        </w:rPr>
        <w:t>269,8; в 2022 году - 257,7</w:t>
      </w:r>
    </w:p>
    <w:p w14:paraId="10000000">
      <w:pPr>
        <w:ind w:firstLine="0" w:left="0"/>
        <w:jc w:val="both"/>
        <w:rPr>
          <w:rFonts w:ascii="Times New Roman" w:hAnsi="Times New Roman"/>
          <w:b w:val="0"/>
          <w:spacing w:val="2"/>
          <w:sz w:val="28"/>
        </w:rPr>
      </w:pPr>
      <w:r>
        <w:rPr>
          <w:rFonts w:ascii="Times New Roman" w:hAnsi="Times New Roman"/>
          <w:b w:val="0"/>
          <w:spacing w:val="2"/>
          <w:sz w:val="28"/>
        </w:rPr>
        <w:t xml:space="preserve"> В связи  </w:t>
      </w:r>
      <w:r>
        <w:rPr>
          <w:rFonts w:ascii="Times New Roman" w:hAnsi="Times New Roman"/>
          <w:b w:val="0"/>
          <w:spacing w:val="2"/>
          <w:sz w:val="28"/>
        </w:rPr>
        <w:t xml:space="preserve">с </w:t>
      </w:r>
      <w:r>
        <w:rPr>
          <w:rFonts w:ascii="Times New Roman" w:hAnsi="Times New Roman"/>
          <w:color w:val="000000"/>
          <w:sz w:val="28"/>
        </w:rPr>
        <w:t xml:space="preserve"> введением ограничительных мер в условиях санкций  на развитие экономики Российской Федерации </w:t>
      </w:r>
      <w:r>
        <w:rPr>
          <w:rFonts w:ascii="Times New Roman" w:hAnsi="Times New Roman"/>
          <w:b w:val="0"/>
          <w:spacing w:val="2"/>
          <w:sz w:val="28"/>
        </w:rPr>
        <w:t>в 2022 году наблюдается уменьшение субъекто</w:t>
      </w:r>
      <w:r>
        <w:rPr>
          <w:rFonts w:ascii="Times New Roman" w:hAnsi="Times New Roman"/>
          <w:b w:val="0"/>
          <w:spacing w:val="2"/>
          <w:sz w:val="28"/>
        </w:rPr>
        <w:t xml:space="preserve">в малого и среднего предпринимательства в расчете на 10 тыс.человек по сравнению с 2021 годом на </w:t>
      </w:r>
      <w:r>
        <w:rPr>
          <w:rFonts w:ascii="Times New Roman" w:hAnsi="Times New Roman"/>
          <w:b w:val="0"/>
          <w:spacing w:val="2"/>
          <w:sz w:val="28"/>
        </w:rPr>
        <w:t>12,1  субъекта.</w:t>
      </w:r>
    </w:p>
    <w:p w14:paraId="11000000">
      <w:pPr>
        <w:ind w:firstLine="425" w:left="0"/>
        <w:jc w:val="both"/>
        <w:rPr>
          <w:rFonts w:ascii="Times New Roman" w:hAnsi="Times New Roman"/>
          <w:b w:val="0"/>
          <w:spacing w:val="2"/>
          <w:sz w:val="28"/>
        </w:rPr>
      </w:pPr>
      <w:r>
        <w:rPr>
          <w:rFonts w:ascii="Times New Roman" w:hAnsi="Times New Roman"/>
          <w:b w:val="0"/>
          <w:spacing w:val="2"/>
          <w:sz w:val="28"/>
        </w:rPr>
        <w:t>На сегодняшний день в городе осуществляют деятельность 201</w:t>
      </w:r>
      <w:r>
        <w:rPr>
          <w:rFonts w:ascii="Times New Roman" w:hAnsi="Times New Roman"/>
          <w:b w:val="0"/>
          <w:spacing w:val="2"/>
          <w:sz w:val="28"/>
        </w:rPr>
        <w:t xml:space="preserve"> малое и среднее  предприятие, </w:t>
      </w:r>
      <w:r>
        <w:rPr>
          <w:rFonts w:ascii="Times New Roman" w:hAnsi="Times New Roman"/>
          <w:b w:val="0"/>
          <w:spacing w:val="2"/>
          <w:sz w:val="28"/>
        </w:rPr>
        <w:t>1028</w:t>
      </w:r>
      <w:r>
        <w:rPr>
          <w:rFonts w:ascii="Times New Roman" w:hAnsi="Times New Roman"/>
          <w:b w:val="0"/>
          <w:spacing w:val="2"/>
          <w:sz w:val="28"/>
        </w:rPr>
        <w:t xml:space="preserve"> – индивидуальных предпринимателей.</w:t>
      </w:r>
    </w:p>
    <w:p w14:paraId="12000000">
      <w:pPr>
        <w:ind w:firstLine="425" w:left="0"/>
        <w:jc w:val="both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</w:rPr>
        <w:t>Прогнозный показатель «Число субъектов малого и среднего предпринимательства в расчете на 10 тыс. человек населения» на 2023</w:t>
      </w:r>
      <w:r>
        <w:rPr>
          <w:rFonts w:ascii="Times New Roman" w:hAnsi="Times New Roman"/>
          <w:b w:val="0"/>
          <w:color w:val="000000"/>
          <w:sz w:val="28"/>
        </w:rPr>
        <w:t xml:space="preserve"> год составит  282,8</w:t>
      </w:r>
      <w:r>
        <w:rPr>
          <w:rFonts w:ascii="Times New Roman" w:hAnsi="Times New Roman"/>
          <w:b w:val="0"/>
          <w:color w:val="000000"/>
          <w:sz w:val="28"/>
        </w:rPr>
        <w:t xml:space="preserve"> единиц, на  2024</w:t>
      </w:r>
      <w:r>
        <w:rPr>
          <w:rFonts w:ascii="Times New Roman" w:hAnsi="Times New Roman"/>
          <w:b w:val="0"/>
          <w:color w:val="000000"/>
          <w:sz w:val="28"/>
        </w:rPr>
        <w:t xml:space="preserve"> год -  291,3</w:t>
      </w:r>
      <w:r>
        <w:rPr>
          <w:rFonts w:ascii="Times New Roman" w:hAnsi="Times New Roman"/>
          <w:b w:val="0"/>
          <w:color w:val="000000"/>
          <w:sz w:val="28"/>
        </w:rPr>
        <w:t>, на 202</w:t>
      </w:r>
      <w:r>
        <w:rPr>
          <w:rFonts w:ascii="Times New Roman" w:hAnsi="Times New Roman"/>
          <w:b w:val="0"/>
          <w:color w:val="000000"/>
          <w:sz w:val="28"/>
        </w:rPr>
        <w:t>4</w:t>
      </w:r>
      <w:r>
        <w:rPr>
          <w:rFonts w:ascii="Times New Roman" w:hAnsi="Times New Roman"/>
          <w:b w:val="0"/>
          <w:color w:val="000000"/>
          <w:sz w:val="28"/>
        </w:rPr>
        <w:t xml:space="preserve"> год – 299,8</w:t>
      </w:r>
      <w:r>
        <w:rPr>
          <w:rFonts w:ascii="Times New Roman" w:hAnsi="Times New Roman"/>
          <w:b w:val="0"/>
          <w:color w:val="000000"/>
          <w:sz w:val="28"/>
        </w:rPr>
        <w:t>.</w:t>
      </w:r>
    </w:p>
    <w:p w14:paraId="13000000">
      <w:pPr>
        <w:ind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FF0000"/>
          <w:sz w:val="28"/>
        </w:rPr>
        <w:tab/>
      </w:r>
      <w:r>
        <w:rPr>
          <w:rFonts w:ascii="Times New Roman" w:hAnsi="Times New Roman"/>
          <w:b w:val="1"/>
          <w:color w:val="000000"/>
          <w:sz w:val="28"/>
        </w:rPr>
        <w:t>Показатель 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14:paraId="14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sz w:val="28"/>
        </w:rPr>
        <w:t>18,7</w:t>
      </w:r>
      <w:r>
        <w:rPr>
          <w:rFonts w:ascii="Times New Roman" w:hAnsi="Times New Roman"/>
          <w:sz w:val="28"/>
        </w:rPr>
        <w:t xml:space="preserve"> %, что на 0,5</w:t>
      </w:r>
      <w:r>
        <w:rPr>
          <w:rFonts w:ascii="Times New Roman" w:hAnsi="Times New Roman"/>
          <w:sz w:val="28"/>
        </w:rPr>
        <w:t xml:space="preserve"> % меньше</w:t>
      </w:r>
      <w:r>
        <w:rPr>
          <w:rFonts w:ascii="Times New Roman" w:hAnsi="Times New Roman"/>
          <w:sz w:val="28"/>
        </w:rPr>
        <w:t>, чем в 202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 xml:space="preserve">году – </w:t>
      </w:r>
      <w:r>
        <w:rPr>
          <w:rFonts w:ascii="Times New Roman" w:hAnsi="Times New Roman"/>
          <w:sz w:val="28"/>
        </w:rPr>
        <w:t>19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%. </w:t>
      </w:r>
    </w:p>
    <w:p w14:paraId="15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Уменьшение </w:t>
      </w:r>
      <w:r>
        <w:rPr>
          <w:rFonts w:ascii="Times New Roman" w:hAnsi="Times New Roman"/>
          <w:sz w:val="28"/>
        </w:rPr>
        <w:t>показателя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обусловлен</w:t>
      </w: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</w:rPr>
        <w:t xml:space="preserve">банкротством среднего предприятия ООО «Донэкс». </w:t>
      </w:r>
    </w:p>
    <w:p w14:paraId="1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прогнозируемом периоде планируется увеличение данного показателя за счет увеличения численности работников на созданных и вновь создаваемых малых предприятиях, резидентов ТОСЭР Донецк (ООО «Аль-</w:t>
      </w:r>
      <w:r>
        <w:rPr>
          <w:rFonts w:ascii="Times New Roman" w:hAnsi="Times New Roman"/>
          <w:sz w:val="28"/>
        </w:rPr>
        <w:t>Пако</w:t>
      </w:r>
      <w:r>
        <w:rPr>
          <w:rFonts w:ascii="Times New Roman" w:hAnsi="Times New Roman"/>
          <w:sz w:val="28"/>
        </w:rPr>
        <w:t>», ООО «Агрофирма «Донецкая долина», ООО НПП «Плитка-Арти», ООО «</w:t>
      </w:r>
      <w:r>
        <w:rPr>
          <w:rFonts w:ascii="Times New Roman" w:hAnsi="Times New Roman"/>
          <w:sz w:val="28"/>
        </w:rPr>
        <w:t>Техмашсервис</w:t>
      </w:r>
      <w:r>
        <w:rPr>
          <w:rFonts w:ascii="Times New Roman" w:hAnsi="Times New Roman"/>
          <w:sz w:val="28"/>
        </w:rPr>
        <w:t>», ООО «</w:t>
      </w:r>
      <w:r>
        <w:rPr>
          <w:rFonts w:ascii="Times New Roman" w:hAnsi="Times New Roman"/>
          <w:sz w:val="28"/>
        </w:rPr>
        <w:t>Хэппи</w:t>
      </w:r>
      <w:r>
        <w:rPr>
          <w:rFonts w:ascii="Times New Roman" w:hAnsi="Times New Roman"/>
          <w:sz w:val="28"/>
        </w:rPr>
        <w:t xml:space="preserve"> Тех Компани», ООО «</w:t>
      </w:r>
      <w:r>
        <w:rPr>
          <w:rFonts w:ascii="Times New Roman" w:hAnsi="Times New Roman"/>
          <w:sz w:val="28"/>
        </w:rPr>
        <w:t>Донецкий завод строительных материалов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ООО «Юг Декор»): в 2023 году – 21,6; в 2024 - 2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3, в 2025 – 23,0</w:t>
      </w:r>
      <w:r>
        <w:rPr>
          <w:rFonts w:ascii="Times New Roman" w:hAnsi="Times New Roman"/>
          <w:sz w:val="28"/>
        </w:rPr>
        <w:t>.</w:t>
      </w:r>
    </w:p>
    <w:p w14:paraId="17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3. Объем инвестиций в основной капитал (за исключением бюджетных средств) в расчете на 1 жителя.</w:t>
      </w:r>
    </w:p>
    <w:p w14:paraId="18000000">
      <w:pPr>
        <w:ind w:firstLine="567" w:left="0"/>
        <w:jc w:val="both"/>
        <w:rPr>
          <w:b w:val="0"/>
          <w:color w:val="000000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Объем инвестиций в основной капитал (за исключением бюджетных средств) на одного жителя в </w:t>
      </w:r>
      <w:r>
        <w:rPr>
          <w:rFonts w:ascii="Times New Roman" w:hAnsi="Times New Roman"/>
          <w:b w:val="0"/>
          <w:color w:val="000000"/>
          <w:sz w:val="28"/>
        </w:rPr>
        <w:t>2022 году составил – 4337,72</w:t>
      </w:r>
      <w:r>
        <w:rPr>
          <w:rFonts w:ascii="Times New Roman" w:hAnsi="Times New Roman"/>
          <w:b w:val="0"/>
          <w:color w:val="000000"/>
          <w:sz w:val="28"/>
        </w:rPr>
        <w:t xml:space="preserve"> рублей</w:t>
      </w:r>
      <w:r>
        <w:rPr>
          <w:rFonts w:ascii="Times New Roman" w:hAnsi="Times New Roman"/>
          <w:b w:val="0"/>
          <w:color w:val="000000"/>
          <w:sz w:val="28"/>
        </w:rPr>
        <w:t xml:space="preserve"> в 20</w:t>
      </w:r>
      <w:r>
        <w:rPr>
          <w:rFonts w:ascii="Times New Roman" w:hAnsi="Times New Roman"/>
          <w:b w:val="0"/>
          <w:color w:val="000000"/>
          <w:sz w:val="28"/>
        </w:rPr>
        <w:t>21</w:t>
      </w:r>
      <w:r>
        <w:rPr>
          <w:rFonts w:ascii="Times New Roman" w:hAnsi="Times New Roman"/>
          <w:b w:val="0"/>
          <w:color w:val="000000"/>
          <w:sz w:val="28"/>
        </w:rPr>
        <w:t xml:space="preserve"> году составил </w:t>
      </w:r>
      <w:r>
        <w:rPr>
          <w:rFonts w:ascii="Times New Roman" w:hAnsi="Times New Roman"/>
          <w:b w:val="0"/>
          <w:color w:val="000000"/>
          <w:sz w:val="28"/>
        </w:rPr>
        <w:t xml:space="preserve">1002,56 </w:t>
      </w:r>
      <w:r>
        <w:rPr>
          <w:rFonts w:ascii="Times New Roman" w:hAnsi="Times New Roman"/>
          <w:b w:val="0"/>
          <w:color w:val="000000"/>
          <w:sz w:val="28"/>
        </w:rPr>
        <w:t xml:space="preserve"> рублей</w:t>
      </w:r>
      <w:r>
        <w:rPr>
          <w:b w:val="0"/>
          <w:color w:val="000000"/>
        </w:rPr>
        <w:t>.</w:t>
      </w:r>
    </w:p>
    <w:p w14:paraId="19000000">
      <w:pPr>
        <w:ind w:firstLine="567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Стабилизация экономической ситуации в городе и реализация инвестиционных проектов в  рамках ТОСЭР «Донецк» позволяет привлечь дополнительные инвестиции в город, что положительно отразится  на данном показателе.</w:t>
      </w:r>
    </w:p>
    <w:p w14:paraId="1A000000">
      <w:pPr>
        <w:ind w:firstLine="708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Значение показателя на плановые периоды 2023</w:t>
      </w:r>
      <w:r>
        <w:rPr>
          <w:rFonts w:ascii="Times New Roman" w:hAnsi="Times New Roman"/>
          <w:b w:val="0"/>
          <w:color w:val="000000"/>
          <w:sz w:val="28"/>
        </w:rPr>
        <w:t>-2025</w:t>
      </w:r>
      <w:r>
        <w:rPr>
          <w:rFonts w:ascii="Times New Roman" w:hAnsi="Times New Roman"/>
          <w:b w:val="0"/>
          <w:color w:val="000000"/>
          <w:sz w:val="28"/>
        </w:rPr>
        <w:t xml:space="preserve"> годы составит: </w:t>
      </w:r>
      <w:r>
        <w:rPr>
          <w:rFonts w:ascii="Times New Roman" w:hAnsi="Times New Roman"/>
          <w:b w:val="0"/>
          <w:color w:val="000000"/>
          <w:sz w:val="28"/>
        </w:rPr>
        <w:t xml:space="preserve"> 202</w:t>
      </w:r>
      <w:r>
        <w:rPr>
          <w:rFonts w:ascii="Times New Roman" w:hAnsi="Times New Roman"/>
          <w:b w:val="0"/>
          <w:color w:val="000000"/>
          <w:sz w:val="28"/>
        </w:rPr>
        <w:t>3</w:t>
      </w:r>
      <w:r>
        <w:rPr>
          <w:rFonts w:ascii="Times New Roman" w:hAnsi="Times New Roman"/>
          <w:b w:val="0"/>
          <w:color w:val="000000"/>
          <w:sz w:val="28"/>
        </w:rPr>
        <w:t xml:space="preserve"> год –4424,47</w:t>
      </w:r>
      <w:r>
        <w:rPr>
          <w:rFonts w:ascii="Times New Roman" w:hAnsi="Times New Roman"/>
          <w:b w:val="0"/>
          <w:color w:val="000000"/>
          <w:sz w:val="28"/>
        </w:rPr>
        <w:t xml:space="preserve"> рублей; 202</w:t>
      </w:r>
      <w:r>
        <w:rPr>
          <w:rFonts w:ascii="Times New Roman" w:hAnsi="Times New Roman"/>
          <w:b w:val="0"/>
          <w:color w:val="000000"/>
          <w:sz w:val="28"/>
        </w:rPr>
        <w:t>4</w:t>
      </w:r>
      <w:r>
        <w:rPr>
          <w:rFonts w:ascii="Times New Roman" w:hAnsi="Times New Roman"/>
          <w:b w:val="0"/>
          <w:color w:val="000000"/>
          <w:sz w:val="28"/>
        </w:rPr>
        <w:t xml:space="preserve"> год – 4526,23</w:t>
      </w:r>
      <w:r>
        <w:rPr>
          <w:rFonts w:ascii="Times New Roman" w:hAnsi="Times New Roman"/>
          <w:b w:val="0"/>
          <w:color w:val="000000"/>
          <w:sz w:val="28"/>
        </w:rPr>
        <w:t xml:space="preserve"> рублей</w:t>
      </w:r>
      <w:r>
        <w:rPr>
          <w:b w:val="0"/>
          <w:color w:val="000000"/>
        </w:rPr>
        <w:t>;</w:t>
      </w:r>
      <w:r>
        <w:rPr>
          <w:rFonts w:ascii="Times New Roman" w:hAnsi="Times New Roman"/>
          <w:b w:val="0"/>
          <w:color w:val="000000"/>
          <w:sz w:val="28"/>
        </w:rPr>
        <w:t xml:space="preserve"> 2025 - 4612,23.</w:t>
      </w:r>
    </w:p>
    <w:p w14:paraId="1B000000">
      <w:pPr>
        <w:ind/>
        <w:jc w:val="both"/>
        <w:rPr>
          <w:rFonts w:ascii="Times New Roman" w:hAnsi="Times New Roman"/>
          <w:sz w:val="28"/>
        </w:rPr>
      </w:pPr>
    </w:p>
    <w:p w14:paraId="1C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II. Развитие сельског</w:t>
      </w:r>
      <w:r>
        <w:rPr>
          <w:rFonts w:ascii="Times New Roman" w:hAnsi="Times New Roman"/>
          <w:b w:val="1"/>
          <w:sz w:val="28"/>
        </w:rPr>
        <w:t>о хозяйства</w:t>
      </w:r>
    </w:p>
    <w:p w14:paraId="1D000000">
      <w:pPr>
        <w:ind/>
        <w:jc w:val="center"/>
        <w:rPr>
          <w:rFonts w:ascii="Times New Roman" w:hAnsi="Times New Roman"/>
          <w:sz w:val="28"/>
        </w:rPr>
      </w:pPr>
    </w:p>
    <w:p w14:paraId="1E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Показатель 5. Доля прибыльных сельскохозяйственных </w:t>
      </w:r>
      <w:r>
        <w:rPr>
          <w:rFonts w:ascii="Times New Roman" w:hAnsi="Times New Roman"/>
          <w:b w:val="1"/>
          <w:color w:val="000000"/>
          <w:sz w:val="28"/>
        </w:rPr>
        <w:t>организаций</w:t>
      </w:r>
      <w:r>
        <w:rPr>
          <w:rFonts w:ascii="Times New Roman" w:hAnsi="Times New Roman"/>
          <w:b w:val="1"/>
          <w:color w:val="000000"/>
          <w:sz w:val="28"/>
        </w:rPr>
        <w:t xml:space="preserve"> в общем их числе, процентов</w:t>
      </w:r>
    </w:p>
    <w:p w14:paraId="1F000000">
      <w:pPr>
        <w:ind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Доля прибыльных сельскохозяйственных </w:t>
      </w:r>
      <w:r>
        <w:rPr>
          <w:rFonts w:ascii="Times New Roman" w:hAnsi="Times New Roman"/>
          <w:color w:val="000000"/>
          <w:sz w:val="28"/>
        </w:rPr>
        <w:t>организаций</w:t>
      </w:r>
      <w:r>
        <w:rPr>
          <w:rFonts w:ascii="Times New Roman" w:hAnsi="Times New Roman"/>
          <w:color w:val="000000"/>
          <w:sz w:val="28"/>
        </w:rPr>
        <w:t xml:space="preserve"> в общем их числе составляет 0%.</w:t>
      </w:r>
    </w:p>
    <w:p w14:paraId="20000000">
      <w:pPr>
        <w:tabs>
          <w:tab w:leader="none" w:pos="709" w:val="left"/>
        </w:tabs>
        <w:ind/>
        <w:rPr>
          <w:rFonts w:ascii="Times New Roman" w:hAnsi="Times New Roman"/>
          <w:b w:val="1"/>
          <w:sz w:val="28"/>
        </w:rPr>
      </w:pPr>
    </w:p>
    <w:p w14:paraId="21000000">
      <w:pPr>
        <w:ind/>
        <w:jc w:val="center"/>
      </w:pPr>
      <w:r>
        <w:rPr>
          <w:rFonts w:ascii="Times New Roman" w:hAnsi="Times New Roman"/>
          <w:b w:val="1"/>
          <w:sz w:val="28"/>
        </w:rPr>
        <w:t>III. Дошкольное образование</w:t>
      </w:r>
    </w:p>
    <w:p w14:paraId="22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9.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14:paraId="23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   в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году составила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60,3</w:t>
      </w:r>
      <w:r>
        <w:rPr>
          <w:rFonts w:ascii="Times New Roman" w:hAnsi="Times New Roman"/>
          <w:color w:val="000000"/>
          <w:sz w:val="28"/>
        </w:rPr>
        <w:t>%, 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62,5</w:t>
      </w:r>
      <w:r>
        <w:rPr>
          <w:rFonts w:ascii="Times New Roman" w:hAnsi="Times New Roman"/>
          <w:color w:val="000000"/>
          <w:sz w:val="28"/>
        </w:rPr>
        <w:t>%</w:t>
      </w:r>
    </w:p>
    <w:p w14:paraId="24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Увеличение данного показателя</w:t>
      </w:r>
      <w:r>
        <w:rPr>
          <w:rFonts w:ascii="Times New Roman" w:hAnsi="Times New Roman"/>
          <w:color w:val="000000"/>
          <w:sz w:val="28"/>
        </w:rPr>
        <w:t xml:space="preserve"> 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на</w:t>
      </w:r>
      <w:r>
        <w:rPr>
          <w:rFonts w:ascii="Times New Roman" w:hAnsi="Times New Roman"/>
          <w:b w:val="1"/>
          <w:color w:val="000000"/>
          <w:sz w:val="28"/>
        </w:rPr>
        <w:t xml:space="preserve"> 2,2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%  связано </w:t>
      </w:r>
      <w:r>
        <w:rPr>
          <w:rFonts w:ascii="Times New Roman" w:hAnsi="Times New Roman"/>
          <w:color w:val="000000"/>
          <w:sz w:val="28"/>
        </w:rPr>
        <w:t xml:space="preserve">с </w:t>
      </w:r>
      <w:r>
        <w:rPr>
          <w:rFonts w:ascii="Times New Roman" w:hAnsi="Times New Roman"/>
          <w:color w:val="000000"/>
          <w:sz w:val="28"/>
        </w:rPr>
        <w:t>увеличением числа зачисленных детей в дошкольные учреждения за счет несовершеннолетних прибывших в экстренном массовом порядке в  Российскую Федерацию</w:t>
      </w:r>
      <w:r>
        <w:rPr>
          <w:rFonts w:ascii="Times New Roman" w:hAnsi="Times New Roman"/>
          <w:color w:val="000000"/>
          <w:sz w:val="28"/>
        </w:rPr>
        <w:t xml:space="preserve"> из Донецкой Народной Республики, Луганской Народной Республики и Украины. </w:t>
      </w:r>
      <w:r>
        <w:rPr>
          <w:rFonts w:ascii="Times New Roman" w:hAnsi="Times New Roman"/>
          <w:color w:val="000000"/>
          <w:sz w:val="28"/>
        </w:rPr>
        <w:t xml:space="preserve">Показатель в </w:t>
      </w:r>
      <w:r>
        <w:rPr>
          <w:rFonts w:ascii="Times New Roman" w:hAnsi="Times New Roman"/>
          <w:color w:val="000000"/>
          <w:sz w:val="28"/>
        </w:rPr>
        <w:t>прогнозном периоде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года</w:t>
      </w:r>
      <w:r>
        <w:rPr>
          <w:rFonts w:ascii="Times New Roman" w:hAnsi="Times New Roman"/>
          <w:color w:val="000000"/>
          <w:sz w:val="28"/>
        </w:rPr>
        <w:t>х</w:t>
      </w:r>
      <w:r>
        <w:rPr>
          <w:rFonts w:ascii="Times New Roman" w:hAnsi="Times New Roman"/>
          <w:color w:val="000000"/>
          <w:sz w:val="28"/>
        </w:rPr>
        <w:t xml:space="preserve"> планируется на уровне 60%, за счет предоставления мест для зачисления в дошкольные образовательные учреждения детей возрастной категории от полутора до трёх лет. </w:t>
      </w:r>
    </w:p>
    <w:p w14:paraId="25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14:paraId="26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 в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году составил – 10</w:t>
      </w:r>
      <w:r>
        <w:rPr>
          <w:rFonts w:ascii="Times New Roman" w:hAnsi="Times New Roman"/>
          <w:color w:val="000000"/>
          <w:sz w:val="28"/>
        </w:rPr>
        <w:t>,16%, в 2022</w:t>
      </w:r>
      <w:r>
        <w:rPr>
          <w:rFonts w:ascii="Times New Roman" w:hAnsi="Times New Roman"/>
          <w:color w:val="000000"/>
          <w:sz w:val="28"/>
        </w:rPr>
        <w:t xml:space="preserve"> году – </w:t>
      </w:r>
      <w:r>
        <w:rPr>
          <w:rFonts w:ascii="Times New Roman" w:hAnsi="Times New Roman"/>
          <w:color w:val="000000"/>
          <w:sz w:val="28"/>
        </w:rPr>
        <w:t>8,9</w:t>
      </w:r>
      <w:r>
        <w:rPr>
          <w:rFonts w:ascii="Times New Roman" w:hAnsi="Times New Roman"/>
          <w:color w:val="000000"/>
          <w:sz w:val="28"/>
        </w:rPr>
        <w:t>%.</w:t>
      </w:r>
    </w:p>
    <w:p w14:paraId="27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В 2022</w:t>
      </w:r>
      <w:r>
        <w:rPr>
          <w:rFonts w:ascii="Times New Roman" w:hAnsi="Times New Roman"/>
          <w:color w:val="000000"/>
          <w:sz w:val="28"/>
        </w:rPr>
        <w:t xml:space="preserve"> году значение показателя </w:t>
      </w:r>
      <w:r>
        <w:rPr>
          <w:rFonts w:ascii="Times New Roman" w:hAnsi="Times New Roman"/>
          <w:color w:val="000000"/>
          <w:sz w:val="28"/>
        </w:rPr>
        <w:t>уменьшилось</w:t>
      </w:r>
      <w:r>
        <w:rPr>
          <w:rFonts w:ascii="Times New Roman" w:hAnsi="Times New Roman"/>
          <w:color w:val="000000"/>
          <w:sz w:val="28"/>
        </w:rPr>
        <w:t xml:space="preserve"> в сравнении с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годом на 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,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6% за счет </w:t>
      </w:r>
      <w:r>
        <w:rPr>
          <w:rFonts w:ascii="Times New Roman" w:hAnsi="Times New Roman"/>
          <w:color w:val="000000"/>
          <w:sz w:val="28"/>
        </w:rPr>
        <w:t xml:space="preserve">увеличения численности детей зачисленных в </w:t>
      </w:r>
      <w:r>
        <w:rPr>
          <w:rFonts w:ascii="Times New Roman" w:hAnsi="Times New Roman"/>
          <w:color w:val="000000"/>
          <w:sz w:val="28"/>
        </w:rPr>
        <w:t xml:space="preserve">дошкольные учреждения, что повлекло </w:t>
      </w:r>
      <w:r>
        <w:rPr>
          <w:rFonts w:ascii="Times New Roman" w:hAnsi="Times New Roman"/>
          <w:color w:val="000000"/>
          <w:sz w:val="28"/>
        </w:rPr>
        <w:t>уменьшени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численности детей </w:t>
      </w:r>
      <w:r>
        <w:rPr>
          <w:rFonts w:ascii="Times New Roman" w:hAnsi="Times New Roman"/>
          <w:color w:val="000000"/>
          <w:sz w:val="28"/>
        </w:rPr>
        <w:t>состоящих</w:t>
      </w:r>
      <w:r>
        <w:rPr>
          <w:rFonts w:ascii="Times New Roman" w:hAnsi="Times New Roman"/>
          <w:color w:val="000000"/>
          <w:sz w:val="28"/>
        </w:rPr>
        <w:t xml:space="preserve">  на учет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для предоставления </w:t>
      </w:r>
      <w:r>
        <w:rPr>
          <w:rFonts w:ascii="Times New Roman" w:hAnsi="Times New Roman"/>
          <w:color w:val="000000"/>
          <w:sz w:val="28"/>
        </w:rPr>
        <w:t>места в дошкольной организации.</w:t>
      </w:r>
    </w:p>
    <w:p w14:paraId="28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В прогнозном периоде планируется снижение показателя за счет планового комплектования</w:t>
      </w:r>
      <w:r>
        <w:rPr>
          <w:rFonts w:ascii="Times New Roman" w:hAnsi="Times New Roman"/>
          <w:color w:val="000000"/>
          <w:sz w:val="28"/>
        </w:rPr>
        <w:t>, доукомплектования в течение года</w:t>
      </w:r>
      <w:r>
        <w:rPr>
          <w:rFonts w:ascii="Times New Roman" w:hAnsi="Times New Roman"/>
          <w:color w:val="000000"/>
          <w:sz w:val="28"/>
        </w:rPr>
        <w:t xml:space="preserve"> и увеличения численности детей в возрасте от полутора до трех лет, обеспеченных местами в муниципальных дошкольных образовательных организациях. Прогнозное значение показателя на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год – </w:t>
      </w:r>
      <w:r>
        <w:rPr>
          <w:rFonts w:ascii="Times New Roman" w:hAnsi="Times New Roman"/>
          <w:color w:val="000000"/>
          <w:sz w:val="28"/>
        </w:rPr>
        <w:t>8,8</w:t>
      </w:r>
      <w:r>
        <w:rPr>
          <w:rFonts w:ascii="Times New Roman" w:hAnsi="Times New Roman"/>
          <w:color w:val="000000"/>
          <w:sz w:val="28"/>
        </w:rPr>
        <w:t xml:space="preserve"> %, на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год –    </w:t>
      </w:r>
      <w:r>
        <w:rPr>
          <w:rFonts w:ascii="Times New Roman" w:hAnsi="Times New Roman"/>
          <w:color w:val="000000"/>
          <w:sz w:val="28"/>
        </w:rPr>
        <w:t>8,7</w:t>
      </w:r>
      <w:r>
        <w:rPr>
          <w:rFonts w:ascii="Times New Roman" w:hAnsi="Times New Roman"/>
          <w:color w:val="000000"/>
          <w:sz w:val="28"/>
        </w:rPr>
        <w:t xml:space="preserve"> %, на 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8,6</w:t>
      </w:r>
      <w:r>
        <w:rPr>
          <w:rFonts w:ascii="Times New Roman" w:hAnsi="Times New Roman"/>
          <w:color w:val="000000"/>
          <w:sz w:val="28"/>
        </w:rPr>
        <w:t>%.</w:t>
      </w:r>
    </w:p>
    <w:p w14:paraId="29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14:paraId="2A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в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году</w:t>
      </w:r>
      <w:r>
        <w:rPr>
          <w:rFonts w:ascii="Times New Roman" w:hAnsi="Times New Roman"/>
          <w:color w:val="000000"/>
          <w:sz w:val="28"/>
        </w:rPr>
        <w:t xml:space="preserve"> составил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13,3</w:t>
      </w:r>
      <w:r>
        <w:rPr>
          <w:rFonts w:ascii="Times New Roman" w:hAnsi="Times New Roman"/>
          <w:color w:val="000000"/>
          <w:sz w:val="28"/>
        </w:rPr>
        <w:t>%, 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– </w:t>
      </w:r>
      <w:r>
        <w:rPr>
          <w:rFonts w:ascii="Times New Roman" w:hAnsi="Times New Roman"/>
          <w:b w:val="1"/>
          <w:color w:val="000000"/>
          <w:sz w:val="28"/>
        </w:rPr>
        <w:t>1</w:t>
      </w:r>
      <w:r>
        <w:rPr>
          <w:rFonts w:ascii="Times New Roman" w:hAnsi="Times New Roman"/>
          <w:b w:val="1"/>
          <w:color w:val="000000"/>
          <w:sz w:val="28"/>
        </w:rPr>
        <w:t>5</w:t>
      </w:r>
      <w:r>
        <w:rPr>
          <w:rFonts w:ascii="Times New Roman" w:hAnsi="Times New Roman"/>
          <w:b w:val="1"/>
          <w:color w:val="000000"/>
          <w:sz w:val="28"/>
        </w:rPr>
        <w:t>,4</w:t>
      </w:r>
      <w:r>
        <w:rPr>
          <w:rFonts w:ascii="Times New Roman" w:hAnsi="Times New Roman"/>
          <w:color w:val="000000"/>
          <w:sz w:val="28"/>
        </w:rPr>
        <w:t>%</w:t>
      </w:r>
      <w:r>
        <w:rPr>
          <w:rFonts w:ascii="Times New Roman" w:hAnsi="Times New Roman"/>
          <w:color w:val="000000"/>
          <w:sz w:val="28"/>
        </w:rPr>
        <w:t xml:space="preserve">. Значения показателя в 2022 году увеличилось на </w:t>
      </w:r>
      <w:r>
        <w:rPr>
          <w:rFonts w:ascii="Times New Roman" w:hAnsi="Times New Roman"/>
          <w:b w:val="1"/>
          <w:color w:val="000000"/>
          <w:sz w:val="28"/>
        </w:rPr>
        <w:t>2,1</w:t>
      </w:r>
      <w:r>
        <w:rPr>
          <w:rFonts w:ascii="Times New Roman" w:hAnsi="Times New Roman"/>
          <w:color w:val="000000"/>
          <w:sz w:val="28"/>
        </w:rPr>
        <w:t xml:space="preserve">%, в связи </w:t>
      </w:r>
      <w:r>
        <w:rPr>
          <w:rFonts w:ascii="Times New Roman" w:hAnsi="Times New Roman"/>
          <w:color w:val="000000"/>
          <w:sz w:val="28"/>
        </w:rPr>
        <w:t xml:space="preserve">с </w:t>
      </w:r>
      <w:r>
        <w:rPr>
          <w:rFonts w:ascii="Times New Roman" w:hAnsi="Times New Roman"/>
          <w:color w:val="000000"/>
          <w:sz w:val="28"/>
        </w:rPr>
        <w:t>уменьшением общего количества муниципальных дошкольных образовательных учреждений (ликвидация</w:t>
      </w:r>
      <w:r>
        <w:rPr>
          <w:rFonts w:ascii="Times New Roman" w:hAnsi="Times New Roman"/>
          <w:color w:val="000000"/>
          <w:sz w:val="28"/>
        </w:rPr>
        <w:t xml:space="preserve"> 2 дошкольных образовательных организаций - МБДОУ детские сады №16,19</w:t>
      </w:r>
      <w:r>
        <w:rPr>
          <w:rFonts w:ascii="Times New Roman" w:hAnsi="Times New Roman"/>
          <w:color w:val="000000"/>
          <w:sz w:val="28"/>
        </w:rPr>
        <w:t>)</w:t>
      </w:r>
      <w:r>
        <w:rPr>
          <w:rFonts w:ascii="Times New Roman" w:hAnsi="Times New Roman"/>
          <w:color w:val="000000"/>
          <w:sz w:val="28"/>
        </w:rPr>
        <w:t>.</w:t>
      </w:r>
    </w:p>
    <w:p w14:paraId="2B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Из общего количества муниципальных дошкольных образовательных учреждений (1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зданий) требуют капитального ремонта -2 здания (МБДОУ детского сада № 8,                № 6), на реконструкцию и капитальный ремонт которых имеются положительные заключения о достоверности определения сметной стоимости проектных работ.</w:t>
      </w:r>
    </w:p>
    <w:p w14:paraId="2C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Показатель в прогнозном периоде 2023-2025 годах планируется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остаться</w:t>
      </w:r>
      <w:r>
        <w:rPr>
          <w:rFonts w:ascii="Times New Roman" w:hAnsi="Times New Roman"/>
          <w:color w:val="000000"/>
          <w:sz w:val="28"/>
        </w:rPr>
        <w:t xml:space="preserve"> на уровне 15,3%.</w:t>
      </w:r>
    </w:p>
    <w:p w14:paraId="2D000000">
      <w:pPr>
        <w:ind/>
        <w:jc w:val="center"/>
      </w:pPr>
      <w:r>
        <w:rPr>
          <w:rFonts w:ascii="Times New Roman" w:hAnsi="Times New Roman"/>
          <w:b w:val="1"/>
          <w:sz w:val="28"/>
        </w:rPr>
        <w:t>IV. Общее и дополнительное образование</w:t>
      </w:r>
    </w:p>
    <w:p w14:paraId="2E000000">
      <w:pPr>
        <w:ind/>
        <w:jc w:val="both"/>
        <w:rPr>
          <w:rFonts w:ascii="Times New Roman" w:hAnsi="Times New Roman"/>
          <w:b w:val="1"/>
          <w:sz w:val="28"/>
        </w:rPr>
      </w:pPr>
    </w:p>
    <w:p w14:paraId="2F000000">
      <w:pPr>
        <w:tabs>
          <w:tab w:leader="none" w:pos="709" w:val="left"/>
        </w:tabs>
        <w:ind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     Показатель 8.  Среднемесячная номинальная начисленная заработная плата учителей муниципальных общеобразовательных учреждений</w:t>
      </w:r>
    </w:p>
    <w:p w14:paraId="30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Среднемесячная номинальная начисленная заработная плата учителей муниципальных общеобразовательных учреждений в 2022 году составила </w:t>
      </w:r>
      <w:r>
        <w:rPr>
          <w:rFonts w:ascii="Times New Roman" w:hAnsi="Times New Roman"/>
          <w:b w:val="1"/>
          <w:color w:val="000000"/>
          <w:sz w:val="28"/>
        </w:rPr>
        <w:t xml:space="preserve">38727,6 </w:t>
      </w:r>
      <w:r>
        <w:rPr>
          <w:rFonts w:ascii="Times New Roman" w:hAnsi="Times New Roman"/>
          <w:color w:val="000000"/>
          <w:sz w:val="28"/>
        </w:rPr>
        <w:t xml:space="preserve">рублей, в 2021 году составляла – 27697,3 рублей. </w:t>
      </w:r>
      <w:r>
        <w:rPr>
          <w:rFonts w:ascii="Times New Roman" w:hAnsi="Times New Roman"/>
          <w:color w:val="000000"/>
          <w:sz w:val="28"/>
        </w:rPr>
        <w:t xml:space="preserve">Рост среднемесячной заработной платы работников в 2022 году по сравнению с 2021 годом обусловлен доведением средней заработной платы педагогических работников образовательных учреждений общего образования к средней заработной плате по Ростовской области до 100 % - 35569,3  рублей, увеличением минимального размера оплаты труда до 13890  рублей с 01.01.2022 года и с 01.06.2022 года до 15279 рублей.   </w:t>
      </w:r>
    </w:p>
    <w:p w14:paraId="31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Прогнозное значение показателя на 2023 год – 39151,8 рубля, на 2024 год – 41640,9 рублей, на 2025 год – 44555,8 рублей.</w:t>
      </w:r>
    </w:p>
    <w:p w14:paraId="32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учреждений.</w:t>
      </w:r>
    </w:p>
    <w:p w14:paraId="33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в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году составила </w:t>
      </w:r>
      <w:r>
        <w:rPr>
          <w:rFonts w:ascii="Times New Roman" w:hAnsi="Times New Roman"/>
          <w:color w:val="000000"/>
          <w:sz w:val="28"/>
        </w:rPr>
        <w:t>1.34 %, в 2022</w:t>
      </w:r>
      <w:r>
        <w:rPr>
          <w:rFonts w:ascii="Times New Roman" w:hAnsi="Times New Roman"/>
          <w:color w:val="000000"/>
          <w:sz w:val="28"/>
        </w:rPr>
        <w:t xml:space="preserve"> году – </w:t>
      </w:r>
      <w:r>
        <w:rPr>
          <w:rFonts w:ascii="Times New Roman" w:hAnsi="Times New Roman"/>
          <w:color w:val="000000"/>
          <w:sz w:val="28"/>
        </w:rPr>
        <w:t>0</w:t>
      </w:r>
      <w:r>
        <w:rPr>
          <w:rFonts w:ascii="Times New Roman" w:hAnsi="Times New Roman"/>
          <w:color w:val="000000"/>
          <w:sz w:val="28"/>
        </w:rPr>
        <w:t xml:space="preserve"> %.</w:t>
      </w:r>
    </w:p>
    <w:p w14:paraId="34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</w:t>
      </w:r>
      <w:r>
        <w:rPr>
          <w:rFonts w:ascii="Times New Roman" w:hAnsi="Times New Roman"/>
          <w:color w:val="000000"/>
          <w:sz w:val="28"/>
        </w:rPr>
        <w:t>все</w:t>
      </w:r>
      <w:r>
        <w:rPr>
          <w:rFonts w:ascii="Times New Roman" w:hAnsi="Times New Roman"/>
          <w:color w:val="000000"/>
          <w:sz w:val="28"/>
        </w:rPr>
        <w:t xml:space="preserve"> выпускник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общеобразовательных организаций получили аттестаты о среднем общем образовании. В прогнозируемом периоде планируется </w:t>
      </w:r>
      <w:r>
        <w:rPr>
          <w:rFonts w:ascii="Times New Roman" w:hAnsi="Times New Roman"/>
          <w:color w:val="000000"/>
          <w:sz w:val="28"/>
        </w:rPr>
        <w:t xml:space="preserve">сохранить </w:t>
      </w:r>
      <w:r>
        <w:rPr>
          <w:rFonts w:ascii="Times New Roman" w:hAnsi="Times New Roman"/>
          <w:color w:val="000000"/>
          <w:sz w:val="28"/>
        </w:rPr>
        <w:t xml:space="preserve"> 0 значения показателя.</w:t>
      </w:r>
    </w:p>
    <w:p w14:paraId="35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14:paraId="36000000">
      <w:pPr>
        <w:ind w:firstLine="42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в 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составила </w:t>
      </w:r>
      <w:r>
        <w:rPr>
          <w:rFonts w:ascii="Times New Roman" w:hAnsi="Times New Roman"/>
          <w:color w:val="000000"/>
          <w:sz w:val="28"/>
        </w:rPr>
        <w:t>86,88</w:t>
      </w:r>
      <w:r>
        <w:rPr>
          <w:rFonts w:ascii="Times New Roman" w:hAnsi="Times New Roman"/>
          <w:color w:val="000000"/>
          <w:sz w:val="28"/>
        </w:rPr>
        <w:t xml:space="preserve"> % и остался на уровне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года </w:t>
      </w:r>
    </w:p>
    <w:p w14:paraId="37000000">
      <w:pPr>
        <w:ind w:firstLine="425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Значение показателя в прогнозном периоде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годов останется неизменным и составит 86,88 %. </w:t>
      </w:r>
    </w:p>
    <w:p w14:paraId="38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14:paraId="39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в 202</w:t>
      </w:r>
      <w:r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 xml:space="preserve"> году составила 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0 %, 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– 20 %. </w:t>
      </w:r>
      <w:r>
        <w:rPr>
          <w:rFonts w:ascii="Times New Roman" w:hAnsi="Times New Roman"/>
          <w:color w:val="000000"/>
          <w:sz w:val="28"/>
        </w:rPr>
        <w:t>Значение показателя не изменилось</w:t>
      </w:r>
      <w:r>
        <w:rPr>
          <w:rFonts w:ascii="Times New Roman" w:hAnsi="Times New Roman"/>
          <w:color w:val="000000"/>
          <w:sz w:val="28"/>
        </w:rPr>
        <w:t>.</w:t>
      </w:r>
    </w:p>
    <w:p w14:paraId="3A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Значение показателя на плановый период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годов останется на прежнем уровне - 20,0 %, до проведения капитального ремонта зданий МБОУ СОШ № 20 и МБОУ СОШ № 3 (начальная школа). </w:t>
      </w:r>
    </w:p>
    <w:p w14:paraId="3B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Показатель 17. Доля обучающихся в муниципальных общеобразовательных учреждениях, занимающихся во вторую (третью) смену, в общей </w:t>
      </w:r>
      <w:r>
        <w:rPr>
          <w:rFonts w:ascii="Times New Roman" w:hAnsi="Times New Roman"/>
          <w:b w:val="1"/>
          <w:color w:val="000000"/>
          <w:sz w:val="28"/>
        </w:rPr>
        <w:t>численности</w:t>
      </w:r>
      <w:r>
        <w:rPr>
          <w:rFonts w:ascii="Times New Roman" w:hAnsi="Times New Roman"/>
          <w:b w:val="1"/>
          <w:color w:val="000000"/>
          <w:sz w:val="28"/>
        </w:rPr>
        <w:t xml:space="preserve"> обучающихся в муниципальных общеобразовательных учреждениях. </w:t>
      </w:r>
    </w:p>
    <w:p w14:paraId="3C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Детей, занимающихся во вторую (третью) смену в муниципальных общеобразовательных организациях нет.  В 202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году значение показателя равно 0,0%. Предполагаемое значение показателя на 202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-202</w:t>
      </w:r>
      <w:r>
        <w:rPr>
          <w:rFonts w:ascii="Times New Roman" w:hAnsi="Times New Roman"/>
          <w:color w:val="000000"/>
          <w:sz w:val="28"/>
        </w:rPr>
        <w:t>5</w:t>
      </w:r>
      <w:r>
        <w:rPr>
          <w:rFonts w:ascii="Times New Roman" w:hAnsi="Times New Roman"/>
          <w:color w:val="000000"/>
          <w:sz w:val="28"/>
        </w:rPr>
        <w:t xml:space="preserve"> годы составит 0,0%.</w:t>
      </w:r>
    </w:p>
    <w:p w14:paraId="3D000000">
      <w:pPr>
        <w:ind w:firstLine="709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18.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14:paraId="3E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Расходы бюджета муниципального образования «Город Донецк» на общее образование в расчете на 1 обучающегося в муниципальных общеобразовательных учреждениях в 2022 году – 16,5 тыс. рублей, в 2021 году - 15,2  тыс. рублей.</w:t>
      </w:r>
    </w:p>
    <w:p w14:paraId="3F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>Плановое значение показателя в 2023 году составит – 16,5 тыс. рублей, в 2024 году – 15,8  тыс. рублей, в 2025 году – 12,9  тыс. рублей.</w:t>
      </w:r>
    </w:p>
    <w:p w14:paraId="40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В 2024 - 2025 годах снижение значения показателя связано с тем, что ассигнования на коммунальные расходы, организацию питания обучающихся 5-11 </w:t>
      </w:r>
      <w:r>
        <w:rPr>
          <w:rFonts w:ascii="Times New Roman" w:hAnsi="Times New Roman"/>
          <w:color w:val="000000"/>
          <w:sz w:val="28"/>
        </w:rPr>
        <w:t>классов из малоимущих семей, организацию подвоза, на оплату расходов по содержанию зданий и имущества общеобразовательных организаций, предусмотрены в соответствии с прогнозируемым на 2024-2025 годы объемом поступления доходов местного бюджета.</w:t>
      </w:r>
    </w:p>
    <w:p w14:paraId="41000000">
      <w:pPr>
        <w:ind w:firstLine="567" w:lef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19.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14:paraId="42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 2022</w:t>
      </w:r>
      <w:r>
        <w:rPr>
          <w:rFonts w:ascii="Times New Roman" w:hAnsi="Times New Roman"/>
          <w:color w:val="000000"/>
          <w:sz w:val="28"/>
        </w:rPr>
        <w:t xml:space="preserve"> году з</w:t>
      </w:r>
      <w:r>
        <w:rPr>
          <w:rFonts w:ascii="Times New Roman" w:hAnsi="Times New Roman"/>
          <w:color w:val="000000"/>
          <w:sz w:val="28"/>
        </w:rPr>
        <w:t xml:space="preserve">начение показателя равно 83 %, </w:t>
      </w:r>
      <w:r>
        <w:rPr>
          <w:rFonts w:ascii="Times New Roman" w:hAnsi="Times New Roman"/>
          <w:color w:val="000000"/>
          <w:sz w:val="28"/>
        </w:rPr>
        <w:t xml:space="preserve"> выше на 12</w:t>
      </w:r>
      <w:r>
        <w:rPr>
          <w:rFonts w:ascii="Times New Roman" w:hAnsi="Times New Roman"/>
          <w:color w:val="000000"/>
          <w:sz w:val="28"/>
        </w:rPr>
        <w:t xml:space="preserve"> % показателя 2021 года.</w:t>
      </w:r>
    </w:p>
    <w:p w14:paraId="43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Это связано с тем, что ранее не учитывались в показателях дети обучающиеся в ДШИ г.Донецка, находящиеся в ведомственном подчинении МУ «Отдел культуры и спорта г.Донецка»</w:t>
      </w:r>
    </w:p>
    <w:p w14:paraId="44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 22.02.2023</w:t>
      </w:r>
      <w:r>
        <w:rPr>
          <w:rFonts w:ascii="Times New Roman" w:hAnsi="Times New Roman"/>
          <w:color w:val="000000"/>
          <w:sz w:val="28"/>
        </w:rPr>
        <w:t xml:space="preserve"> по данным подсистемы  «Электронное дополнительное образование» региональной информационной системы «Образование» </w:t>
      </w:r>
      <w:r>
        <w:rPr>
          <w:rFonts w:ascii="Times New Roman" w:hAnsi="Times New Roman"/>
          <w:color w:val="000000"/>
          <w:sz w:val="28"/>
        </w:rPr>
        <w:t xml:space="preserve">- уникальных детей - 4789 (77,2  %).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2023</w:t>
      </w:r>
      <w:r>
        <w:rPr>
          <w:rFonts w:ascii="Times New Roman" w:hAnsi="Times New Roman"/>
          <w:color w:val="000000"/>
          <w:sz w:val="28"/>
        </w:rPr>
        <w:t xml:space="preserve"> году планируется довести данный показатель до 80 % за счет увеличения охвата детей дополнительными программами в общеобразовательных организациях</w:t>
      </w:r>
      <w:r>
        <w:rPr>
          <w:rFonts w:ascii="Times New Roman" w:hAnsi="Times New Roman"/>
          <w:color w:val="000000"/>
          <w:sz w:val="28"/>
        </w:rPr>
        <w:t xml:space="preserve"> (получена лицензия МБОУ СОШ №7 г. Донецка)</w:t>
      </w:r>
      <w:r>
        <w:rPr>
          <w:rFonts w:ascii="Times New Roman" w:hAnsi="Times New Roman"/>
          <w:color w:val="000000"/>
          <w:sz w:val="28"/>
        </w:rPr>
        <w:t xml:space="preserve"> и развитие дополнительного образования в дошкольны</w:t>
      </w:r>
      <w:r>
        <w:rPr>
          <w:rFonts w:ascii="Times New Roman" w:hAnsi="Times New Roman"/>
          <w:color w:val="000000"/>
          <w:sz w:val="28"/>
        </w:rPr>
        <w:t>х образовательных организациях  за счет платных услуг (МБДОУ детский сад №7 г. Донецка и МБДОУ детский сад №11 г. Донецка)</w:t>
      </w:r>
      <w:r>
        <w:rPr>
          <w:rFonts w:ascii="Times New Roman" w:hAnsi="Times New Roman"/>
          <w:color w:val="000000"/>
          <w:sz w:val="28"/>
        </w:rPr>
        <w:t>.</w:t>
      </w:r>
    </w:p>
    <w:p w14:paraId="45000000">
      <w:pPr>
        <w:ind w:firstLine="42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Прогнозный показатель на  2024</w:t>
      </w:r>
      <w:r>
        <w:rPr>
          <w:rFonts w:ascii="Times New Roman" w:hAnsi="Times New Roman"/>
          <w:color w:val="000000"/>
          <w:sz w:val="28"/>
        </w:rPr>
        <w:t xml:space="preserve">, 2025 годы </w:t>
      </w:r>
      <w:r>
        <w:rPr>
          <w:rFonts w:ascii="Times New Roman" w:hAnsi="Times New Roman"/>
          <w:color w:val="000000"/>
          <w:sz w:val="28"/>
        </w:rPr>
        <w:t>- 81</w:t>
      </w:r>
      <w:r>
        <w:rPr>
          <w:rFonts w:ascii="Times New Roman" w:hAnsi="Times New Roman"/>
          <w:color w:val="000000"/>
          <w:sz w:val="28"/>
        </w:rPr>
        <w:t xml:space="preserve"> % .</w:t>
      </w:r>
    </w:p>
    <w:p w14:paraId="46000000">
      <w:pPr>
        <w:ind w:firstLine="567" w:left="0"/>
        <w:jc w:val="both"/>
        <w:rPr>
          <w:rFonts w:ascii="Times New Roman" w:hAnsi="Times New Roman"/>
          <w:sz w:val="28"/>
        </w:rPr>
      </w:pPr>
    </w:p>
    <w:p w14:paraId="47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V. Здравоохранение</w:t>
      </w:r>
    </w:p>
    <w:p w14:paraId="48000000">
      <w:pPr>
        <w:ind/>
        <w:jc w:val="both"/>
        <w:rPr>
          <w:rFonts w:ascii="Times New Roman" w:hAnsi="Times New Roman"/>
          <w:sz w:val="28"/>
        </w:rPr>
      </w:pPr>
    </w:p>
    <w:p w14:paraId="49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16. Доля детей первой и второй групп здоровья в общей </w:t>
      </w:r>
      <w:r>
        <w:rPr>
          <w:rFonts w:ascii="Times New Roman" w:hAnsi="Times New Roman"/>
          <w:b w:val="1"/>
          <w:sz w:val="28"/>
        </w:rPr>
        <w:t>численности</w:t>
      </w:r>
      <w:r>
        <w:rPr>
          <w:rFonts w:ascii="Times New Roman" w:hAnsi="Times New Roman"/>
          <w:b w:val="1"/>
          <w:sz w:val="28"/>
        </w:rPr>
        <w:t xml:space="preserve"> обучающихся в</w:t>
      </w:r>
      <w:r>
        <w:rPr>
          <w:rFonts w:ascii="Times New Roman" w:hAnsi="Times New Roman"/>
          <w:b w:val="1"/>
          <w:sz w:val="28"/>
        </w:rPr>
        <w:t xml:space="preserve"> муниципальных общеобразовательных учреждениях.</w:t>
      </w:r>
    </w:p>
    <w:p w14:paraId="4A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Доля детей первой и второй групп здоровья в общей численности обучающихся в муниципальных общеобразовательных организациях в </w:t>
      </w:r>
      <w:r>
        <w:rPr>
          <w:rFonts w:ascii="Times New Roman" w:hAnsi="Times New Roman"/>
          <w:sz w:val="28"/>
        </w:rPr>
        <w:t>2021 году – 82,7%, в 2022 году-</w:t>
      </w:r>
      <w:r>
        <w:rPr>
          <w:rFonts w:ascii="Times New Roman" w:hAnsi="Times New Roman"/>
          <w:b w:val="1"/>
          <w:sz w:val="28"/>
        </w:rPr>
        <w:t>79,7%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sz w:val="28"/>
        </w:rPr>
        <w:t xml:space="preserve"> Уменьшение показателя связано с увеличением</w:t>
      </w:r>
      <w:r>
        <w:rPr>
          <w:rFonts w:ascii="Times New Roman" w:hAnsi="Times New Roman"/>
          <w:sz w:val="28"/>
        </w:rPr>
        <w:t xml:space="preserve"> детей с нарушением </w:t>
      </w:r>
      <w:r>
        <w:rPr>
          <w:rFonts w:ascii="Times New Roman" w:hAnsi="Times New Roman"/>
          <w:sz w:val="28"/>
        </w:rPr>
        <w:t>костно</w:t>
      </w:r>
      <w:r>
        <w:rPr>
          <w:rFonts w:ascii="Times New Roman" w:hAnsi="Times New Roman"/>
          <w:sz w:val="28"/>
        </w:rPr>
        <w:t xml:space="preserve"> - мышечной</w:t>
      </w:r>
      <w:r>
        <w:rPr>
          <w:rFonts w:ascii="Times New Roman" w:hAnsi="Times New Roman"/>
          <w:sz w:val="28"/>
        </w:rPr>
        <w:t xml:space="preserve"> системы (плоскостопие) и болезнями глаз</w:t>
      </w:r>
      <w:r>
        <w:rPr>
          <w:rFonts w:ascii="Times New Roman" w:hAnsi="Times New Roman"/>
          <w:sz w:val="28"/>
        </w:rPr>
        <w:t>.</w:t>
      </w:r>
    </w:p>
    <w:p w14:paraId="4B000000">
      <w:pPr>
        <w:ind w:firstLine="567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</w:t>
      </w:r>
      <w:r>
        <w:rPr>
          <w:rFonts w:ascii="Times New Roman" w:hAnsi="Times New Roman"/>
          <w:sz w:val="28"/>
        </w:rPr>
        <w:t xml:space="preserve"> 2023 г. – 83,2%; 2024-83,2%, 2025-83,2%</w:t>
      </w:r>
      <w:r>
        <w:rPr>
          <w:rFonts w:ascii="Times New Roman" w:hAnsi="Times New Roman"/>
          <w:sz w:val="28"/>
        </w:rPr>
        <w:t>.</w:t>
      </w:r>
    </w:p>
    <w:p w14:paraId="4C000000">
      <w:pPr>
        <w:ind/>
        <w:jc w:val="center"/>
      </w:pPr>
    </w:p>
    <w:p w14:paraId="4D000000">
      <w:pPr>
        <w:ind/>
        <w:jc w:val="center"/>
      </w:pPr>
      <w:r>
        <w:rPr>
          <w:rFonts w:ascii="Times New Roman" w:hAnsi="Times New Roman"/>
          <w:b w:val="1"/>
          <w:sz w:val="28"/>
        </w:rPr>
        <w:t>VI. Культура</w:t>
      </w:r>
    </w:p>
    <w:p w14:paraId="4E000000">
      <w:pPr>
        <w:ind w:firstLine="567" w:left="0"/>
        <w:jc w:val="both"/>
      </w:pPr>
    </w:p>
    <w:p w14:paraId="4F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19. Доля детей в возрасте 5 - 18 лет, получающих услуги по дополнительному образованию в</w:t>
      </w:r>
      <w:r>
        <w:rPr>
          <w:rFonts w:ascii="Times New Roman" w:hAnsi="Times New Roman"/>
          <w:b w:val="1"/>
          <w:sz w:val="28"/>
        </w:rPr>
        <w:t xml:space="preserve">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14:paraId="50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сфере культуры муниципального образования «Город Донецк» функционирует одно учреждение дополнительного образования, максимальная мощность которого составляет 700 обучающихся. Таким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>разом, фактический</w:t>
      </w:r>
      <w:r>
        <w:rPr>
          <w:rFonts w:ascii="Times New Roman" w:hAnsi="Times New Roman"/>
          <w:sz w:val="28"/>
        </w:rPr>
        <w:t xml:space="preserve"> показатель охвата эстетическим образованием детей в возрасте 5 – 18 лет не может превысить 10%. </w:t>
      </w:r>
    </w:p>
    <w:p w14:paraId="51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Фактический показатель в 2022 году составил 9,5%, п</w:t>
      </w:r>
      <w:r>
        <w:rPr>
          <w:rFonts w:ascii="Times New Roman" w:hAnsi="Times New Roman"/>
          <w:sz w:val="28"/>
        </w:rPr>
        <w:t>рогнозный показатель на 2023 – 202</w:t>
      </w:r>
      <w:r>
        <w:rPr>
          <w:rFonts w:ascii="Times New Roman" w:hAnsi="Times New Roman"/>
          <w:sz w:val="28"/>
        </w:rPr>
        <w:t>5 годы составляет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9,5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>.</w:t>
      </w:r>
    </w:p>
    <w:p w14:paraId="52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20. Уровень фактической обеспе</w:t>
      </w:r>
      <w:r>
        <w:rPr>
          <w:rFonts w:ascii="Times New Roman" w:hAnsi="Times New Roman"/>
          <w:b w:val="1"/>
          <w:sz w:val="28"/>
        </w:rPr>
        <w:t>ченности учреждениями культуры от нормативной потребности.</w:t>
      </w:r>
    </w:p>
    <w:p w14:paraId="53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Уровень фактической обеспеченности клубами и учреждениями клубного </w:t>
      </w:r>
      <w:r>
        <w:rPr>
          <w:rFonts w:ascii="Times New Roman" w:hAnsi="Times New Roman"/>
          <w:sz w:val="28"/>
        </w:rPr>
        <w:t>типа  в</w:t>
      </w:r>
      <w:r>
        <w:rPr>
          <w:rFonts w:ascii="Times New Roman" w:hAnsi="Times New Roman"/>
          <w:sz w:val="28"/>
        </w:rPr>
        <w:t xml:space="preserve">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составил 100%. 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останется неизменным – 100%.</w:t>
      </w:r>
    </w:p>
    <w:p w14:paraId="54000000">
      <w:pPr>
        <w:widowControl w:val="0"/>
        <w:tabs>
          <w:tab w:leader="none" w:pos="7938" w:val="left"/>
        </w:tabs>
        <w:ind w:firstLine="567" w:left="0"/>
        <w:jc w:val="both"/>
      </w:pPr>
      <w:r>
        <w:rPr>
          <w:rFonts w:ascii="Times New Roman" w:hAnsi="Times New Roman"/>
          <w:sz w:val="28"/>
        </w:rPr>
        <w:t xml:space="preserve">Уровень </w:t>
      </w:r>
      <w:r>
        <w:rPr>
          <w:rFonts w:ascii="Times New Roman" w:hAnsi="Times New Roman"/>
          <w:sz w:val="28"/>
        </w:rPr>
        <w:t>фактической обеспеченности библиотеками от нормативной потребности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 </w:t>
      </w:r>
      <w:r>
        <w:rPr>
          <w:rFonts w:ascii="Times New Roman" w:hAnsi="Times New Roman"/>
          <w:sz w:val="28"/>
        </w:rPr>
        <w:t>100</w:t>
      </w:r>
      <w:r>
        <w:rPr>
          <w:rFonts w:ascii="Times New Roman" w:hAnsi="Times New Roman"/>
          <w:sz w:val="28"/>
        </w:rPr>
        <w:t>%. 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и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составляет 100%.</w:t>
      </w:r>
      <w:r>
        <w:rPr>
          <w:rFonts w:ascii="Times New Roman" w:hAnsi="Times New Roman"/>
          <w:sz w:val="28"/>
        </w:rPr>
        <w:t xml:space="preserve"> Уменьшение показателя по сравнению с 2021 годом связано с ликвидацией одного структурного подразделения МБУК ДЦБС.</w:t>
      </w:r>
      <w:r>
        <w:rPr>
          <w:rFonts w:ascii="Times New Roman" w:hAnsi="Times New Roman"/>
          <w:sz w:val="28"/>
        </w:rPr>
        <w:t xml:space="preserve"> </w:t>
      </w:r>
    </w:p>
    <w:p w14:paraId="55000000">
      <w:pPr>
        <w:widowControl w:val="0"/>
        <w:tabs>
          <w:tab w:leader="none" w:pos="7938" w:val="left"/>
        </w:tabs>
        <w:ind w:firstLine="567" w:left="0"/>
        <w:jc w:val="both"/>
      </w:pPr>
      <w:r>
        <w:rPr>
          <w:rFonts w:ascii="Times New Roman" w:hAnsi="Times New Roman"/>
          <w:sz w:val="28"/>
        </w:rPr>
        <w:t>Уровень фактической обеспеченности парками культуры и отдыха от нормативной потребности равен 0.</w:t>
      </w:r>
    </w:p>
    <w:p w14:paraId="56000000">
      <w:pPr>
        <w:widowControl w:val="0"/>
        <w:tabs>
          <w:tab w:leader="none" w:pos="7938" w:val="left"/>
        </w:tabs>
        <w:ind w:firstLine="567" w:left="0"/>
        <w:jc w:val="both"/>
      </w:pPr>
    </w:p>
    <w:p w14:paraId="57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21. Доля муниципальных учреждений культуры, здания которых на</w:t>
      </w:r>
      <w:r>
        <w:rPr>
          <w:rFonts w:ascii="Times New Roman" w:hAnsi="Times New Roman"/>
          <w:b w:val="1"/>
          <w:sz w:val="28"/>
        </w:rPr>
        <w:t>ходятся в аварийном состоянии или требуют капитального ремонта, в общем количестве муниципальных учреждений культуры</w:t>
      </w:r>
    </w:p>
    <w:p w14:paraId="58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муниципальных учреждений культуры, здания которых находятся в аварийном состоянии или требуют капитального ремонта, в общем количестве</w:t>
      </w:r>
      <w:r>
        <w:rPr>
          <w:rFonts w:ascii="Times New Roman" w:hAnsi="Times New Roman"/>
          <w:sz w:val="28"/>
        </w:rPr>
        <w:t xml:space="preserve"> муниципальных учреждений культуры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12,5%.</w:t>
      </w:r>
    </w:p>
    <w:p w14:paraId="59000000">
      <w:pPr>
        <w:ind w:firstLine="567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 xml:space="preserve">3 </w:t>
      </w:r>
      <w:r>
        <w:rPr>
          <w:rFonts w:ascii="Times New Roman" w:hAnsi="Times New Roman"/>
          <w:sz w:val="28"/>
        </w:rPr>
        <w:t>год</w:t>
      </w:r>
      <w:r>
        <w:rPr>
          <w:rFonts w:ascii="Times New Roman" w:hAnsi="Times New Roman"/>
          <w:sz w:val="28"/>
        </w:rPr>
        <w:t xml:space="preserve"> останется неизменным – 12,5%. Прогнозное значение показателя на 2024</w:t>
      </w:r>
      <w:r>
        <w:rPr>
          <w:rFonts w:ascii="Times New Roman" w:hAnsi="Times New Roman"/>
          <w:sz w:val="28"/>
        </w:rPr>
        <w:t xml:space="preserve"> и 2025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составляет 11,1% в связи с завершением плановых сроков строительства </w:t>
      </w:r>
      <w:r>
        <w:rPr>
          <w:rFonts w:ascii="Times New Roman" w:hAnsi="Times New Roman"/>
          <w:sz w:val="28"/>
        </w:rPr>
        <w:t>здания городского Дворца культуры «Шахтёр».</w:t>
      </w:r>
    </w:p>
    <w:p w14:paraId="5A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</w:t>
      </w:r>
      <w:r>
        <w:rPr>
          <w:rFonts w:ascii="Times New Roman" w:hAnsi="Times New Roman"/>
          <w:b w:val="1"/>
          <w:sz w:val="28"/>
        </w:rPr>
        <w:t>собственности.</w:t>
      </w:r>
    </w:p>
    <w:p w14:paraId="5B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33,3%. </w:t>
      </w:r>
    </w:p>
    <w:p w14:paraId="5C000000">
      <w:pPr>
        <w:ind w:firstLine="567" w:left="0"/>
        <w:jc w:val="both"/>
      </w:pPr>
      <w:r>
        <w:rPr>
          <w:rFonts w:ascii="Times New Roman" w:hAnsi="Times New Roman"/>
          <w:sz w:val="28"/>
        </w:rPr>
        <w:t>Значения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,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останется неизменным – 33,3%.</w:t>
      </w:r>
      <w:r>
        <w:rPr>
          <w:rFonts w:ascii="Times New Roman" w:hAnsi="Times New Roman"/>
          <w:sz w:val="28"/>
        </w:rPr>
        <w:t xml:space="preserve"> </w:t>
      </w:r>
    </w:p>
    <w:p w14:paraId="5D000000">
      <w:pPr>
        <w:ind/>
        <w:jc w:val="both"/>
        <w:rPr>
          <w:rFonts w:ascii="Times New Roman" w:hAnsi="Times New Roman"/>
          <w:sz w:val="28"/>
        </w:rPr>
      </w:pPr>
    </w:p>
    <w:p w14:paraId="5E000000">
      <w:pPr>
        <w:ind/>
        <w:jc w:val="center"/>
      </w:pPr>
      <w:r>
        <w:rPr>
          <w:rFonts w:ascii="Times New Roman" w:hAnsi="Times New Roman"/>
          <w:b w:val="1"/>
          <w:sz w:val="28"/>
        </w:rPr>
        <w:t>V</w:t>
      </w:r>
      <w:r>
        <w:rPr>
          <w:rFonts w:ascii="Times New Roman" w:hAnsi="Times New Roman"/>
          <w:b w:val="1"/>
          <w:sz w:val="28"/>
        </w:rPr>
        <w:t>II</w:t>
      </w:r>
      <w:r>
        <w:rPr>
          <w:rFonts w:ascii="Times New Roman" w:hAnsi="Times New Roman"/>
          <w:b w:val="1"/>
          <w:sz w:val="28"/>
        </w:rPr>
        <w:t>. Физическая культура и спорт</w:t>
      </w:r>
    </w:p>
    <w:p w14:paraId="5F000000">
      <w:pPr>
        <w:ind/>
        <w:jc w:val="both"/>
        <w:rPr>
          <w:rFonts w:ascii="Times New Roman" w:hAnsi="Times New Roman"/>
          <w:b w:val="1"/>
          <w:sz w:val="28"/>
        </w:rPr>
      </w:pPr>
    </w:p>
    <w:p w14:paraId="60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23. Доля населения, систематически занимающегося физической культурой и спортом.</w:t>
      </w:r>
    </w:p>
    <w:p w14:paraId="61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населения, систематически занимающегося физической культурой и спортом в 2022 году – 53,1%.</w:t>
      </w:r>
    </w:p>
    <w:p w14:paraId="62000000">
      <w:pPr>
        <w:ind w:firstLine="567" w:left="0"/>
        <w:jc w:val="both"/>
      </w:pPr>
      <w:r>
        <w:rPr>
          <w:rFonts w:ascii="Times New Roman" w:hAnsi="Times New Roman"/>
          <w:sz w:val="28"/>
        </w:rPr>
        <w:t>Численность</w:t>
      </w:r>
      <w:r>
        <w:rPr>
          <w:rFonts w:ascii="Times New Roman" w:hAnsi="Times New Roman"/>
          <w:sz w:val="28"/>
        </w:rPr>
        <w:t xml:space="preserve"> систематически занимающихся физической культурой и спортом в 2022 году составила 22850 человек. В процентном отношении к общей численности населения это составляет 53,1%. Количество занимающихся, по сравнению с 2021 годом выросло на 1020 человек. Рост показателя удельного веса занимающихся спортом объясняется тем, что увеличилось количество занимающихся </w:t>
      </w:r>
      <w:r>
        <w:rPr>
          <w:rFonts w:ascii="Times New Roman" w:hAnsi="Times New Roman"/>
          <w:sz w:val="28"/>
        </w:rPr>
        <w:t>среди  категорий</w:t>
      </w:r>
      <w:r>
        <w:rPr>
          <w:rFonts w:ascii="Times New Roman" w:hAnsi="Times New Roman"/>
          <w:sz w:val="28"/>
        </w:rPr>
        <w:t xml:space="preserve"> среднего и старшего населения в КФК различных организаций, среди предпринимателей, самостоятельно занимающихся по месту жительства. </w:t>
      </w:r>
      <w:r>
        <w:rPr>
          <w:rFonts w:ascii="Times New Roman" w:hAnsi="Times New Roman"/>
          <w:sz w:val="28"/>
        </w:rPr>
        <w:t>Планируемый  показатель</w:t>
      </w:r>
      <w:r>
        <w:rPr>
          <w:rFonts w:ascii="Times New Roman" w:hAnsi="Times New Roman"/>
          <w:sz w:val="28"/>
        </w:rPr>
        <w:t xml:space="preserve"> в 2023 году 56,0%, в 2024 году – 57,9%, в 2025 году – 59,9%.</w:t>
      </w:r>
    </w:p>
    <w:p w14:paraId="63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23.1 Доля обучающихся, систематически занимающихся физической культурой и спортом, в общей численности обучающихся.</w:t>
      </w:r>
    </w:p>
    <w:p w14:paraId="64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Доля обучающихся, систематически занимающихся физической культурой и спортом, в общей численности </w:t>
      </w:r>
      <w:r>
        <w:rPr>
          <w:rFonts w:ascii="Times New Roman" w:hAnsi="Times New Roman"/>
          <w:sz w:val="28"/>
        </w:rPr>
        <w:t>обучающихся  в</w:t>
      </w:r>
      <w:r>
        <w:rPr>
          <w:rFonts w:ascii="Times New Roman" w:hAnsi="Times New Roman"/>
          <w:sz w:val="28"/>
        </w:rPr>
        <w:t xml:space="preserve"> 2022 году составила -  93,8%. Показатель остался на уровне 2021 года. Планируется сохранение данного показателя в 2023 </w:t>
      </w:r>
      <w:r>
        <w:rPr>
          <w:rFonts w:ascii="Times New Roman" w:hAnsi="Times New Roman"/>
          <w:sz w:val="28"/>
        </w:rPr>
        <w:t>году  до</w:t>
      </w:r>
      <w:r>
        <w:rPr>
          <w:rFonts w:ascii="Times New Roman" w:hAnsi="Times New Roman"/>
          <w:sz w:val="28"/>
        </w:rPr>
        <w:t xml:space="preserve"> 93,8%, в 2024 году – до 93,8%, в 2025 году – до 93,8%.</w:t>
      </w:r>
    </w:p>
    <w:p w14:paraId="65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66000000">
      <w:pPr>
        <w:ind/>
        <w:jc w:val="center"/>
      </w:pPr>
      <w:r>
        <w:rPr>
          <w:rFonts w:ascii="Times New Roman" w:hAnsi="Times New Roman"/>
          <w:b w:val="1"/>
          <w:sz w:val="28"/>
        </w:rPr>
        <w:t>VIII. Жилищное строительство и обеспечение граждан жильем</w:t>
      </w:r>
    </w:p>
    <w:p w14:paraId="67000000">
      <w:pPr>
        <w:ind/>
        <w:jc w:val="center"/>
        <w:rPr>
          <w:rFonts w:ascii="Times New Roman" w:hAnsi="Times New Roman"/>
          <w:b w:val="1"/>
          <w:sz w:val="28"/>
        </w:rPr>
      </w:pPr>
    </w:p>
    <w:p w14:paraId="68000000">
      <w:pPr>
        <w:ind w:firstLine="567" w:left="0" w:right="0"/>
        <w:jc w:val="both"/>
        <w:rPr>
          <w:color w:val="000000"/>
        </w:rPr>
      </w:pPr>
      <w:r>
        <w:rPr>
          <w:rFonts w:ascii="Times New Roman" w:hAnsi="Times New Roman"/>
          <w:b w:val="1"/>
          <w:color w:val="000000"/>
          <w:sz w:val="28"/>
        </w:rPr>
        <w:t>Показатель 24. Общая площадь жилых помещений, приходящаяся в среднем на одного жителя.</w:t>
      </w:r>
    </w:p>
    <w:p w14:paraId="69000000">
      <w:pPr>
        <w:ind w:firstLine="567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Общая площадь жилых помещений, приходящихся в среднем на одного жителя, составляет   в 2021 году — </w:t>
      </w:r>
      <w:r>
        <w:rPr>
          <w:rFonts w:ascii="Times New Roman" w:hAnsi="Times New Roman"/>
          <w:b w:val="0"/>
          <w:color w:val="000000"/>
          <w:sz w:val="28"/>
        </w:rPr>
        <w:t xml:space="preserve">26,29 кв.м., в 2022 году – </w:t>
      </w:r>
      <w:r>
        <w:rPr>
          <w:rFonts w:ascii="Times New Roman" w:hAnsi="Times New Roman"/>
          <w:b w:val="0"/>
          <w:color w:val="000000"/>
          <w:sz w:val="28"/>
        </w:rPr>
        <w:t>26,45 кв. мет</w:t>
      </w:r>
      <w:r>
        <w:rPr>
          <w:b w:val="0"/>
          <w:color w:val="000000"/>
          <w:sz w:val="28"/>
        </w:rPr>
        <w:t>ров.</w:t>
      </w:r>
      <w:r>
        <w:rPr>
          <w:rFonts w:ascii="Times New Roman" w:hAnsi="Times New Roman"/>
          <w:b w:val="0"/>
          <w:color w:val="000000"/>
          <w:sz w:val="28"/>
        </w:rPr>
        <w:t xml:space="preserve"> Плановый показатель</w:t>
      </w:r>
      <w:r>
        <w:rPr>
          <w:rFonts w:ascii="Times New Roman" w:hAnsi="Times New Roman"/>
          <w:b w:val="0"/>
          <w:color w:val="000000"/>
          <w:sz w:val="28"/>
        </w:rPr>
        <w:t xml:space="preserve"> на 2023-2025 годы составляет – 25 кв.м.</w:t>
      </w:r>
    </w:p>
    <w:p w14:paraId="6A000000">
      <w:pPr>
        <w:ind w:firstLine="567" w:left="0" w:righ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 xml:space="preserve">В </w:t>
      </w:r>
      <w:r>
        <w:rPr>
          <w:rFonts w:ascii="Times New Roman" w:hAnsi="Times New Roman"/>
          <w:b w:val="0"/>
          <w:color w:val="000000"/>
          <w:sz w:val="28"/>
        </w:rPr>
        <w:t>том числе введенная в действие за один год в 2022  – 0,1 кв.м. Плановые показатели на 2023-2025 годы остаются такие же.</w:t>
      </w:r>
    </w:p>
    <w:p w14:paraId="6B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25. Площадь земельных участков, предоставленных для строительства в расчете на 10 тыс. человек населения.</w:t>
      </w:r>
    </w:p>
    <w:p w14:paraId="6C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Площадь земельных участков, предоставленных для строительства в расчете на 10 тыс. человек населения </w:t>
      </w:r>
      <w:r>
        <w:rPr>
          <w:rFonts w:ascii="Times New Roman" w:hAnsi="Times New Roman"/>
          <w:sz w:val="28"/>
        </w:rPr>
        <w:t xml:space="preserve"> в 2021 году  - 9,2 га, в 2022 году – 9,2 га, в 2023 – 2024 годах значение показателя остается на этом же уровне и составит 9,2 га;</w:t>
      </w:r>
    </w:p>
    <w:p w14:paraId="6D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</w:t>
      </w:r>
      <w:r>
        <w:rPr>
          <w:rFonts w:ascii="Times New Roman" w:hAnsi="Times New Roman"/>
          <w:sz w:val="28"/>
        </w:rPr>
        <w:t xml:space="preserve"> в 2021 году  - 7,4 га, в 2022 году – 7,4 га; в плановых периодах  2023 – 2025 годах значение показателя составит  – 7,4 га.</w:t>
      </w:r>
    </w:p>
    <w:p w14:paraId="6E000000">
      <w:pPr>
        <w:ind w:firstLine="567" w:left="0"/>
        <w:jc w:val="both"/>
      </w:pPr>
    </w:p>
    <w:p w14:paraId="6F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26. Площадь земельных участков, предоставленных для строительства, в отношении которых </w:t>
      </w:r>
      <w:r>
        <w:rPr>
          <w:rFonts w:ascii="Times New Roman" w:hAnsi="Times New Roman"/>
          <w:b w:val="1"/>
          <w:sz w:val="28"/>
        </w:rPr>
        <w:t>с даты принятия</w:t>
      </w:r>
      <w:r>
        <w:rPr>
          <w:rFonts w:ascii="Times New Roman" w:hAnsi="Times New Roman"/>
          <w:b w:val="1"/>
          <w:sz w:val="28"/>
        </w:rPr>
        <w:t xml:space="preserve"> решения о предоставлении земельного участка или подписания пр</w:t>
      </w:r>
      <w:r>
        <w:rPr>
          <w:rFonts w:ascii="Times New Roman" w:hAnsi="Times New Roman"/>
          <w:b w:val="1"/>
          <w:sz w:val="28"/>
        </w:rPr>
        <w:t>отокола о результатах торгов (конкурсов, аукционов) не было получено разрешение на ввод в эксплуатацию.</w:t>
      </w:r>
    </w:p>
    <w:p w14:paraId="70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Площадь земельных участков, предоставленных для строительства, в отношении которых </w:t>
      </w:r>
      <w:r>
        <w:rPr>
          <w:rFonts w:ascii="Times New Roman" w:hAnsi="Times New Roman"/>
          <w:sz w:val="28"/>
        </w:rPr>
        <w:t>с даты принятия</w:t>
      </w:r>
      <w:r>
        <w:rPr>
          <w:rFonts w:ascii="Times New Roman" w:hAnsi="Times New Roman"/>
          <w:sz w:val="28"/>
        </w:rPr>
        <w:t xml:space="preserve"> решения о предоставлении земельного участка или </w:t>
      </w:r>
      <w:r>
        <w:rPr>
          <w:rFonts w:ascii="Times New Roman" w:hAnsi="Times New Roman"/>
          <w:sz w:val="28"/>
        </w:rPr>
        <w:t>подпи</w:t>
      </w:r>
      <w:r>
        <w:rPr>
          <w:rFonts w:ascii="Times New Roman" w:hAnsi="Times New Roman"/>
          <w:sz w:val="28"/>
        </w:rPr>
        <w:t>сания протокола о результатах торгов (конкурсов, аукционов) не было получено разрешение на ввод в эксплуатацию:</w:t>
      </w:r>
    </w:p>
    <w:p w14:paraId="71000000">
      <w:pPr>
        <w:ind w:firstLine="567" w:left="0"/>
        <w:jc w:val="both"/>
      </w:pPr>
      <w:r>
        <w:rPr>
          <w:rFonts w:ascii="Times New Roman" w:hAnsi="Times New Roman"/>
          <w:sz w:val="28"/>
        </w:rPr>
        <w:t>- по объектам жилищного строительства – в течение 3 лет – отсутствуют земельные участки, на которых истек срок выданного разрешения на строитель</w:t>
      </w:r>
      <w:r>
        <w:rPr>
          <w:rFonts w:ascii="Times New Roman" w:hAnsi="Times New Roman"/>
          <w:sz w:val="28"/>
        </w:rPr>
        <w:t>ство;</w:t>
      </w:r>
    </w:p>
    <w:p w14:paraId="72000000">
      <w:pPr>
        <w:ind w:firstLine="567" w:left="0"/>
        <w:jc w:val="both"/>
      </w:pPr>
      <w:r>
        <w:rPr>
          <w:rFonts w:ascii="Times New Roman" w:hAnsi="Times New Roman"/>
          <w:sz w:val="28"/>
        </w:rPr>
        <w:t>- по иным объектам капитального строительства – в течение 5 лет – отсутствуют земельные участки, на которых истек срок выданного разрешения на строительство.</w:t>
      </w:r>
    </w:p>
    <w:p w14:paraId="73000000">
      <w:pPr>
        <w:ind w:firstLine="567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Показатель 30. </w:t>
      </w:r>
      <w:r>
        <w:rPr>
          <w:rFonts w:ascii="Times New Roman" w:hAnsi="Times New Roman"/>
          <w:b w:val="1"/>
          <w:sz w:val="28"/>
        </w:rPr>
        <w:t>Доля населения, получившего жилые помещения и улучшившего жилищные условия в</w:t>
      </w:r>
      <w:r>
        <w:rPr>
          <w:rFonts w:ascii="Times New Roman" w:hAnsi="Times New Roman"/>
          <w:b w:val="1"/>
          <w:sz w:val="28"/>
        </w:rPr>
        <w:t xml:space="preserve"> отчетном году, в общей численности населения, состоящего на учете в качестве нуждающегося в жилых помещениях.</w:t>
      </w:r>
    </w:p>
    <w:p w14:paraId="74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помещениях» за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год, по состоянию на 01.01.202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составила5,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%.</w:t>
      </w:r>
    </w:p>
    <w:p w14:paraId="75000000">
      <w:pPr>
        <w:ind w:firstLine="567" w:left="0"/>
        <w:jc w:val="both"/>
      </w:pPr>
      <w:r>
        <w:rPr>
          <w:rFonts w:ascii="Times New Roman" w:hAnsi="Times New Roman"/>
          <w:sz w:val="28"/>
        </w:rPr>
        <w:t>В сравнении с предыдущим годом (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%) показатель у</w:t>
      </w:r>
      <w:r>
        <w:rPr>
          <w:rFonts w:ascii="Times New Roman" w:hAnsi="Times New Roman"/>
          <w:sz w:val="28"/>
        </w:rPr>
        <w:t>величился</w:t>
      </w:r>
      <w:r>
        <w:rPr>
          <w:rFonts w:ascii="Times New Roman" w:hAnsi="Times New Roman"/>
          <w:sz w:val="28"/>
        </w:rPr>
        <w:t>.</w:t>
      </w:r>
    </w:p>
    <w:p w14:paraId="76000000">
      <w:pPr>
        <w:ind w:firstLine="567" w:left="0"/>
        <w:jc w:val="both"/>
      </w:pPr>
      <w:r>
        <w:rPr>
          <w:rFonts w:ascii="Times New Roman" w:hAnsi="Times New Roman"/>
          <w:sz w:val="28"/>
        </w:rPr>
        <w:t>Это обусловлено у</w:t>
      </w:r>
      <w:r>
        <w:rPr>
          <w:rFonts w:ascii="Times New Roman" w:hAnsi="Times New Roman"/>
          <w:sz w:val="28"/>
        </w:rPr>
        <w:t>величением</w:t>
      </w:r>
      <w:r>
        <w:rPr>
          <w:rFonts w:ascii="Times New Roman" w:hAnsi="Times New Roman"/>
          <w:sz w:val="28"/>
        </w:rPr>
        <w:t xml:space="preserve"> финансирования за счет средств уровней всех бюджетов для предоставления жилья детям-сиротам, детям, оставшимся без попечения родителей в городе Донецке и обеспечения переселения граждан из аварийного жилищного фонда.</w:t>
      </w:r>
    </w:p>
    <w:p w14:paraId="77000000">
      <w:pPr>
        <w:ind w:firstLine="567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В планируемом периоде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значение показателя  предположительно будет составлять – 5,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%.  </w:t>
      </w:r>
    </w:p>
    <w:p w14:paraId="78000000">
      <w:pPr>
        <w:ind/>
        <w:jc w:val="both"/>
        <w:rPr>
          <w:rFonts w:ascii="Times New Roman" w:hAnsi="Times New Roman"/>
          <w:sz w:val="28"/>
        </w:rPr>
      </w:pPr>
    </w:p>
    <w:p w14:paraId="79000000">
      <w:pPr>
        <w:ind/>
        <w:jc w:val="center"/>
      </w:pPr>
      <w:r>
        <w:rPr>
          <w:rFonts w:ascii="Times New Roman" w:hAnsi="Times New Roman"/>
          <w:b w:val="1"/>
          <w:sz w:val="28"/>
        </w:rPr>
        <w:t>I</w:t>
      </w:r>
      <w:r>
        <w:rPr>
          <w:rFonts w:ascii="Times New Roman" w:hAnsi="Times New Roman"/>
          <w:b w:val="1"/>
          <w:sz w:val="28"/>
        </w:rPr>
        <w:t>Х</w:t>
      </w:r>
      <w:r>
        <w:rPr>
          <w:rFonts w:ascii="Times New Roman" w:hAnsi="Times New Roman"/>
          <w:b w:val="1"/>
          <w:sz w:val="28"/>
        </w:rPr>
        <w:t>. Жилищно-коммунальное хозяйство</w:t>
      </w:r>
    </w:p>
    <w:p w14:paraId="7A000000">
      <w:pPr>
        <w:ind/>
        <w:jc w:val="both"/>
        <w:rPr>
          <w:rFonts w:ascii="Times New Roman" w:hAnsi="Times New Roman"/>
          <w:b w:val="1"/>
          <w:sz w:val="28"/>
        </w:rPr>
      </w:pPr>
    </w:p>
    <w:p w14:paraId="7B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</w:t>
      </w:r>
      <w:r>
        <w:rPr>
          <w:rFonts w:ascii="Times New Roman" w:hAnsi="Times New Roman"/>
          <w:b w:val="1"/>
          <w:sz w:val="28"/>
        </w:rPr>
        <w:t>жны выбрать способ управления данными домами.</w:t>
      </w:r>
    </w:p>
    <w:p w14:paraId="7C000000">
      <w:pPr>
        <w:ind w:firstLine="425" w:left="0"/>
        <w:jc w:val="both"/>
        <w:rPr>
          <w:b w:val="0"/>
        </w:rPr>
      </w:pPr>
      <w:r>
        <w:rPr>
          <w:rFonts w:ascii="Times New Roman" w:hAnsi="Times New Roman"/>
          <w:sz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</w:t>
      </w:r>
      <w:r>
        <w:rPr>
          <w:rFonts w:ascii="Times New Roman" w:hAnsi="Times New Roman"/>
          <w:sz w:val="28"/>
        </w:rPr>
        <w:t xml:space="preserve"> выбрать способ управления</w:t>
      </w:r>
      <w:r>
        <w:rPr>
          <w:rFonts w:ascii="Times New Roman" w:hAnsi="Times New Roman"/>
          <w:sz w:val="28"/>
        </w:rPr>
        <w:t xml:space="preserve"> данными домами в 2022 году в муниципальном образовании «Город Донецк» с</w:t>
      </w:r>
      <w:r>
        <w:rPr>
          <w:rFonts w:ascii="Times New Roman" w:hAnsi="Times New Roman"/>
          <w:b w:val="0"/>
          <w:sz w:val="28"/>
        </w:rPr>
        <w:t xml:space="preserve">оставила </w:t>
      </w:r>
      <w:r>
        <w:rPr>
          <w:rFonts w:ascii="Times New Roman" w:hAnsi="Times New Roman"/>
          <w:b w:val="0"/>
          <w:sz w:val="28"/>
        </w:rPr>
        <w:t>99,43</w:t>
      </w:r>
      <w:r>
        <w:rPr>
          <w:rFonts w:ascii="Times New Roman" w:hAnsi="Times New Roman"/>
          <w:b w:val="0"/>
          <w:sz w:val="28"/>
        </w:rPr>
        <w:t xml:space="preserve"> %. </w:t>
      </w:r>
    </w:p>
    <w:p w14:paraId="7D000000">
      <w:pPr>
        <w:ind w:firstLine="425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>В настоящее время на территории муниципального образования «Город Донецк» 350 многоквартирных дома, из них: 54 дома под управлением ТСЖ/ЖСК/</w:t>
      </w:r>
      <w:r>
        <w:rPr>
          <w:rFonts w:ascii="Times New Roman" w:hAnsi="Times New Roman"/>
          <w:b w:val="0"/>
          <w:sz w:val="28"/>
        </w:rPr>
        <w:t>ЖК, 93 дома под управлением УК, 203 дома в НСУ.</w:t>
      </w:r>
    </w:p>
    <w:p w14:paraId="7E000000">
      <w:pPr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 xml:space="preserve">Значение показателя на планируемый период  2023-2025 годы будет составлять </w:t>
      </w:r>
      <w:r>
        <w:rPr>
          <w:rFonts w:ascii="Times New Roman" w:hAnsi="Times New Roman"/>
          <w:b w:val="0"/>
          <w:sz w:val="28"/>
        </w:rPr>
        <w:t>99,43</w:t>
      </w:r>
      <w:r>
        <w:rPr>
          <w:rFonts w:ascii="Times New Roman" w:hAnsi="Times New Roman"/>
          <w:b w:val="0"/>
          <w:sz w:val="28"/>
        </w:rPr>
        <w:t xml:space="preserve"> %</w:t>
      </w:r>
      <w:r>
        <w:rPr>
          <w:rFonts w:ascii="Times New Roman" w:hAnsi="Times New Roman"/>
          <w:b w:val="0"/>
          <w:sz w:val="28"/>
        </w:rPr>
        <w:t>.</w:t>
      </w:r>
    </w:p>
    <w:p w14:paraId="7F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28. Доля организаций коммунального </w:t>
      </w:r>
      <w:r>
        <w:rPr>
          <w:rFonts w:ascii="Times New Roman" w:hAnsi="Times New Roman"/>
          <w:b w:val="1"/>
          <w:sz w:val="28"/>
        </w:rPr>
        <w:t>комплекса</w:t>
      </w:r>
      <w:r>
        <w:rPr>
          <w:rFonts w:ascii="Times New Roman" w:hAnsi="Times New Roman"/>
          <w:b w:val="1"/>
          <w:sz w:val="28"/>
        </w:rPr>
        <w:t>,о</w:t>
      </w:r>
      <w:r>
        <w:rPr>
          <w:rFonts w:ascii="Times New Roman" w:hAnsi="Times New Roman"/>
          <w:b w:val="1"/>
          <w:sz w:val="28"/>
        </w:rPr>
        <w:t>существляющих</w:t>
      </w:r>
      <w:r>
        <w:rPr>
          <w:rFonts w:ascii="Times New Roman" w:hAnsi="Times New Roman"/>
          <w:b w:val="1"/>
          <w:sz w:val="28"/>
        </w:rPr>
        <w:t xml:space="preserve"> производство товаров, оказание услуг по </w:t>
      </w:r>
      <w:r>
        <w:rPr>
          <w:rFonts w:ascii="Times New Roman" w:hAnsi="Times New Roman"/>
          <w:b w:val="1"/>
          <w:sz w:val="28"/>
        </w:rPr>
        <w:t>водо</w:t>
      </w:r>
      <w:r>
        <w:rPr>
          <w:rFonts w:ascii="Times New Roman" w:hAnsi="Times New Roman"/>
          <w:b w:val="1"/>
          <w:sz w:val="28"/>
        </w:rPr>
        <w:t>-, тепло-,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газо</w:t>
      </w:r>
      <w:r>
        <w:rPr>
          <w:rFonts w:ascii="Times New Roman" w:hAnsi="Times New Roman"/>
          <w:b w:val="1"/>
          <w:sz w:val="28"/>
        </w:rPr>
        <w:t xml:space="preserve"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</w:t>
      </w:r>
      <w:r>
        <w:rPr>
          <w:rFonts w:ascii="Times New Roman" w:hAnsi="Times New Roman"/>
          <w:b w:val="1"/>
          <w:sz w:val="28"/>
        </w:rPr>
        <w:t xml:space="preserve">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</w:r>
      <w:r>
        <w:rPr>
          <w:rFonts w:ascii="Times New Roman" w:hAnsi="Times New Roman"/>
          <w:b w:val="1"/>
          <w:sz w:val="28"/>
        </w:rPr>
        <w:t>осуществляющих</w:t>
      </w:r>
      <w:r>
        <w:rPr>
          <w:rFonts w:ascii="Times New Roman" w:hAnsi="Times New Roman"/>
          <w:b w:val="1"/>
          <w:sz w:val="28"/>
        </w:rPr>
        <w:t xml:space="preserve"> свою деятельность на территории городского округа (муниципального ра</w:t>
      </w:r>
      <w:r>
        <w:rPr>
          <w:rFonts w:ascii="Times New Roman" w:hAnsi="Times New Roman"/>
          <w:b w:val="1"/>
          <w:sz w:val="28"/>
        </w:rPr>
        <w:t>йона).</w:t>
      </w:r>
    </w:p>
    <w:p w14:paraId="80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Доля организаций коммунального комплекса, осуществляющих производство товаров, оказание услуг по </w:t>
      </w:r>
      <w:r>
        <w:rPr>
          <w:rFonts w:ascii="Times New Roman" w:hAnsi="Times New Roman"/>
          <w:sz w:val="28"/>
        </w:rPr>
        <w:t>водо</w:t>
      </w:r>
      <w:r>
        <w:rPr>
          <w:rFonts w:ascii="Times New Roman" w:hAnsi="Times New Roman"/>
          <w:sz w:val="28"/>
        </w:rPr>
        <w:t>-, тепл</w:t>
      </w:r>
      <w:r>
        <w:rPr>
          <w:rFonts w:ascii="Times New Roman" w:hAnsi="Times New Roman"/>
          <w:sz w:val="28"/>
        </w:rPr>
        <w:t>о-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газо</w:t>
      </w:r>
      <w:r>
        <w:rPr>
          <w:rFonts w:ascii="Times New Roman" w:hAnsi="Times New Roman"/>
          <w:sz w:val="28"/>
        </w:rPr>
        <w:t>-, электроснабжению, водоотведению, очистке сточных вод, утилизации (захоронению) твердых бытовых отходов и использующих объекты комм</w:t>
      </w:r>
      <w:r>
        <w:rPr>
          <w:rFonts w:ascii="Times New Roman" w:hAnsi="Times New Roman"/>
          <w:sz w:val="28"/>
        </w:rPr>
        <w:t>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</w:t>
      </w:r>
      <w:r>
        <w:rPr>
          <w:rFonts w:ascii="Times New Roman" w:hAnsi="Times New Roman"/>
          <w:sz w:val="28"/>
        </w:rPr>
        <w:t>ганизаций коммунального комплекса, осуществляющих свою деятельность на территории муниципального образования «Город Донецк</w:t>
      </w:r>
      <w:r>
        <w:rPr>
          <w:rFonts w:ascii="Times New Roman" w:hAnsi="Times New Roman"/>
          <w:sz w:val="28"/>
        </w:rPr>
        <w:t>»в</w:t>
      </w:r>
      <w:r>
        <w:rPr>
          <w:rFonts w:ascii="Times New Roman" w:hAnsi="Times New Roman"/>
          <w:sz w:val="28"/>
        </w:rPr>
        <w:t xml:space="preserve"> 2021 году составила 62,5 %.</w:t>
      </w:r>
    </w:p>
    <w:p w14:paraId="81000000">
      <w:pPr>
        <w:ind w:firstLine="425" w:left="0"/>
        <w:jc w:val="both"/>
      </w:pPr>
      <w:r>
        <w:rPr>
          <w:rFonts w:ascii="Times New Roman" w:hAnsi="Times New Roman"/>
          <w:sz w:val="28"/>
        </w:rPr>
        <w:t>На территории муниципального образования «Город Донецк» 4 организации коммунального комплекса: ПАО «Газ</w:t>
      </w:r>
      <w:r>
        <w:rPr>
          <w:rFonts w:ascii="Times New Roman" w:hAnsi="Times New Roman"/>
          <w:sz w:val="28"/>
        </w:rPr>
        <w:t>пром, газораспределение Ростов-на-Дону» (газоснабжение); ОАО «</w:t>
      </w:r>
      <w:r>
        <w:rPr>
          <w:rFonts w:ascii="Times New Roman" w:hAnsi="Times New Roman"/>
          <w:sz w:val="28"/>
        </w:rPr>
        <w:t>Донэнерго</w:t>
      </w:r>
      <w:r>
        <w:rPr>
          <w:rFonts w:ascii="Times New Roman" w:hAnsi="Times New Roman"/>
          <w:sz w:val="28"/>
        </w:rPr>
        <w:t>» (электроснабжение, теплоснабжение);                  МУП «Исток»; ООО «</w:t>
      </w:r>
      <w:r>
        <w:rPr>
          <w:rFonts w:ascii="Times New Roman" w:hAnsi="Times New Roman"/>
          <w:sz w:val="28"/>
        </w:rPr>
        <w:t>Экостройдон</w:t>
      </w:r>
      <w:r>
        <w:rPr>
          <w:rFonts w:ascii="Times New Roman" w:hAnsi="Times New Roman"/>
          <w:sz w:val="28"/>
        </w:rPr>
        <w:t xml:space="preserve">» (утилизация твердых коммунальных отходов).  </w:t>
      </w:r>
    </w:p>
    <w:p w14:paraId="82000000">
      <w:pPr>
        <w:ind w:firstLine="425" w:left="0"/>
        <w:jc w:val="both"/>
      </w:pPr>
      <w:r>
        <w:rPr>
          <w:rFonts w:ascii="Times New Roman" w:hAnsi="Times New Roman"/>
          <w:sz w:val="28"/>
        </w:rPr>
        <w:t>В 2022 году значение показателя  -50</w:t>
      </w:r>
      <w:r>
        <w:rPr>
          <w:rFonts w:ascii="Arial" w:hAnsi="Arial"/>
          <w:sz w:val="20"/>
        </w:rPr>
        <w:t>%.</w:t>
      </w:r>
    </w:p>
    <w:p w14:paraId="83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В планируемом </w:t>
      </w:r>
      <w:r>
        <w:rPr>
          <w:rFonts w:ascii="Times New Roman" w:hAnsi="Times New Roman"/>
          <w:sz w:val="28"/>
        </w:rPr>
        <w:t>периоде 2023-2025 годы значение показателя  останется неизменным и будет составлять 50% .</w:t>
      </w:r>
    </w:p>
    <w:p w14:paraId="84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29. Доля многоквартирных домов, расположенных на земельных участках, в отношении которых осуществлен государственный кадастровый учет. </w:t>
      </w:r>
    </w:p>
    <w:p w14:paraId="85000000">
      <w:pPr>
        <w:ind w:firstLine="425" w:left="0"/>
        <w:jc w:val="both"/>
      </w:pPr>
      <w:r>
        <w:rPr>
          <w:rFonts w:ascii="Times New Roman" w:hAnsi="Times New Roman"/>
          <w:sz w:val="28"/>
        </w:rPr>
        <w:t>На 2022</w:t>
      </w:r>
      <w:r>
        <w:rPr>
          <w:rFonts w:ascii="Times New Roman" w:hAnsi="Times New Roman"/>
          <w:sz w:val="28"/>
        </w:rPr>
        <w:t xml:space="preserve"> год значение показателя составило 100 %. Значение показателя на планируемый период  2023-2054 годы будет составлять 100 %.</w:t>
      </w:r>
    </w:p>
    <w:p w14:paraId="86000000">
      <w:pPr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87000000">
      <w:pPr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X. Организация муниципального управления</w:t>
      </w:r>
    </w:p>
    <w:p w14:paraId="88000000">
      <w:pPr>
        <w:ind w:firstLine="709" w:left="0"/>
        <w:jc w:val="center"/>
        <w:rPr>
          <w:rFonts w:ascii="Times New Roman" w:hAnsi="Times New Roman"/>
          <w:sz w:val="28"/>
        </w:rPr>
      </w:pPr>
    </w:p>
    <w:p w14:paraId="89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4. Доля площади земельных участков, являющихся объектами налогообложения земел</w:t>
      </w:r>
      <w:r>
        <w:rPr>
          <w:rFonts w:ascii="Times New Roman" w:hAnsi="Times New Roman"/>
          <w:b w:val="1"/>
          <w:sz w:val="28"/>
        </w:rPr>
        <w:t>ьным налогом, в общей площади территории городского округа (муниципального района).</w:t>
      </w:r>
    </w:p>
    <w:p w14:paraId="8A000000">
      <w:pPr>
        <w:ind w:firstLine="425" w:left="0"/>
        <w:jc w:val="both"/>
      </w:pPr>
      <w:r>
        <w:rPr>
          <w:rFonts w:ascii="Times New Roman" w:hAnsi="Times New Roman"/>
          <w:sz w:val="28"/>
        </w:rPr>
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в 2021 году со</w:t>
      </w:r>
      <w:r>
        <w:rPr>
          <w:rFonts w:ascii="Times New Roman" w:hAnsi="Times New Roman"/>
          <w:sz w:val="28"/>
        </w:rPr>
        <w:t>ставила 84,5 %,  в 2022 году 84,5%.</w:t>
      </w:r>
    </w:p>
    <w:p w14:paraId="8B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В 2022 году доля площади </w:t>
      </w:r>
      <w:r>
        <w:rPr>
          <w:rFonts w:ascii="Times New Roman" w:hAnsi="Times New Roman"/>
          <w:sz w:val="28"/>
        </w:rPr>
        <w:t>земельных участков, являющихся объектом налогообложения  составила</w:t>
      </w:r>
      <w:r>
        <w:rPr>
          <w:rFonts w:ascii="Times New Roman" w:hAnsi="Times New Roman"/>
          <w:sz w:val="28"/>
        </w:rPr>
        <w:t xml:space="preserve"> 84,5 %. т. е. сохранилась на уровне 2021 года.  В период с 2023 по 2025 годы планируется сохранить данный показатель.  В рамках </w:t>
      </w:r>
      <w:r>
        <w:rPr>
          <w:rFonts w:ascii="Times New Roman" w:hAnsi="Times New Roman"/>
          <w:sz w:val="28"/>
        </w:rPr>
        <w:t>реализации муниципальной программы «Управление и распоряжение муниципальным имуществом в муниципальном образовании «Город Донецк» и плана приватизации муниципального имущества значения показателя будут следующими: в 2023 году – 84,5%, в 2024 году  - 84,5%,</w:t>
      </w:r>
      <w:r>
        <w:rPr>
          <w:rFonts w:ascii="Times New Roman" w:hAnsi="Times New Roman"/>
          <w:sz w:val="28"/>
        </w:rPr>
        <w:t xml:space="preserve"> в 2025 году – 84,5%.</w:t>
      </w:r>
    </w:p>
    <w:p w14:paraId="8C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</w:r>
    </w:p>
    <w:p w14:paraId="8D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sz w:val="28"/>
        </w:rPr>
        <w:t>28,3</w:t>
      </w:r>
      <w:r>
        <w:rPr>
          <w:rFonts w:ascii="Times New Roman" w:hAnsi="Times New Roman"/>
          <w:sz w:val="28"/>
        </w:rPr>
        <w:t xml:space="preserve"> %.</w:t>
      </w:r>
    </w:p>
    <w:p w14:paraId="8E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году значение показателя составило – </w:t>
      </w:r>
      <w:r>
        <w:rPr>
          <w:rFonts w:ascii="Times New Roman" w:hAnsi="Times New Roman"/>
          <w:sz w:val="28"/>
        </w:rPr>
        <w:t>31,4</w:t>
      </w:r>
      <w:r>
        <w:rPr>
          <w:rFonts w:ascii="Times New Roman" w:hAnsi="Times New Roman"/>
          <w:sz w:val="28"/>
        </w:rPr>
        <w:t xml:space="preserve">%. </w:t>
      </w:r>
    </w:p>
    <w:p w14:paraId="8F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Это обусловлено тем, что</w:t>
      </w:r>
      <w:r>
        <w:rPr>
          <w:rFonts w:ascii="Times New Roman" w:hAnsi="Times New Roman"/>
          <w:sz w:val="28"/>
        </w:rPr>
        <w:t xml:space="preserve"> производились работы по ремонту автомобильных дорог.</w:t>
      </w:r>
    </w:p>
    <w:p w14:paraId="90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Значение показателя на прогнозный период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составит </w:t>
      </w:r>
      <w:r>
        <w:rPr>
          <w:rFonts w:ascii="Times New Roman" w:hAnsi="Times New Roman"/>
          <w:sz w:val="28"/>
        </w:rPr>
        <w:t>28,3</w:t>
      </w:r>
      <w:r>
        <w:rPr>
          <w:rFonts w:ascii="Times New Roman" w:hAnsi="Times New Roman"/>
          <w:sz w:val="28"/>
        </w:rPr>
        <w:t>%</w:t>
      </w:r>
    </w:p>
    <w:p w14:paraId="91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7. Доля населения, проживающего в населенных пунктах, не имеющ</w:t>
      </w:r>
      <w:r>
        <w:rPr>
          <w:rFonts w:ascii="Times New Roman" w:hAnsi="Times New Roman"/>
          <w:b w:val="1"/>
          <w:sz w:val="28"/>
        </w:rPr>
        <w:t>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14:paraId="92000000">
      <w:pPr>
        <w:ind w:firstLine="567" w:left="0"/>
        <w:jc w:val="both"/>
      </w:pPr>
      <w:r>
        <w:rPr>
          <w:rFonts w:ascii="Times New Roman" w:hAnsi="Times New Roman"/>
          <w:sz w:val="28"/>
        </w:rPr>
        <w:t>В 2022 году значение показателя составило 0%, и ост</w:t>
      </w:r>
      <w:r>
        <w:rPr>
          <w:rFonts w:ascii="Times New Roman" w:hAnsi="Times New Roman"/>
          <w:sz w:val="28"/>
        </w:rPr>
        <w:t>ается на уровне 2021 года</w:t>
      </w:r>
    </w:p>
    <w:p w14:paraId="93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Значение показателя в 2023-2025 годы  составит 0%. </w:t>
      </w:r>
      <w:r>
        <w:rPr>
          <w:rFonts w:ascii="Times New Roman" w:hAnsi="Times New Roman"/>
          <w:b w:val="1"/>
          <w:sz w:val="28"/>
        </w:rPr>
        <w:tab/>
      </w:r>
    </w:p>
    <w:p w14:paraId="94000000">
      <w:pPr>
        <w:tabs>
          <w:tab w:leader="none" w:pos="709" w:val="left"/>
        </w:tabs>
        <w:ind/>
      </w:pPr>
      <w:r>
        <w:rPr>
          <w:rFonts w:ascii="Times New Roman" w:hAnsi="Times New Roman"/>
          <w:b w:val="1"/>
          <w:sz w:val="28"/>
        </w:rPr>
        <w:t xml:space="preserve">      Показатель 8. Среднемесячная номинальная начисленная заработная пла</w:t>
      </w:r>
      <w:r>
        <w:rPr>
          <w:rFonts w:ascii="Times New Roman" w:hAnsi="Times New Roman"/>
          <w:b w:val="1"/>
          <w:sz w:val="28"/>
        </w:rPr>
        <w:t>та.</w:t>
      </w:r>
    </w:p>
    <w:p w14:paraId="95000000">
      <w:pPr>
        <w:ind w:firstLine="425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Крупных и средних предприятий и некоммерческих организаций:</w:t>
      </w:r>
    </w:p>
    <w:p w14:paraId="96000000">
      <w:pPr>
        <w:ind w:firstLine="425" w:left="0"/>
        <w:jc w:val="both"/>
      </w:pPr>
      <w:r>
        <w:rPr>
          <w:rFonts w:ascii="Times New Roman" w:hAnsi="Times New Roman"/>
          <w:b w:val="0"/>
          <w:sz w:val="28"/>
        </w:rPr>
        <w:t>Размер сре</w:t>
      </w:r>
      <w:r>
        <w:rPr>
          <w:rFonts w:ascii="Times New Roman" w:hAnsi="Times New Roman"/>
          <w:b w:val="0"/>
          <w:sz w:val="28"/>
        </w:rPr>
        <w:t>днемесячной номинальной начисленной</w:t>
      </w:r>
      <w:r>
        <w:rPr>
          <w:rFonts w:ascii="Times New Roman" w:hAnsi="Times New Roman"/>
          <w:b w:val="0"/>
          <w:sz w:val="28"/>
        </w:rPr>
        <w:t xml:space="preserve"> заработной платы работников по полному кругу предприятий</w:t>
      </w:r>
      <w:r>
        <w:rPr>
          <w:rFonts w:ascii="Times New Roman" w:hAnsi="Times New Roman"/>
          <w:b w:val="0"/>
          <w:sz w:val="28"/>
        </w:rPr>
        <w:t xml:space="preserve"> в отчётном 202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 xml:space="preserve"> году составил </w:t>
      </w:r>
      <w:r>
        <w:rPr>
          <w:rFonts w:ascii="Times New Roman" w:hAnsi="Times New Roman"/>
          <w:b w:val="0"/>
          <w:sz w:val="28"/>
        </w:rPr>
        <w:t>30872</w:t>
      </w:r>
      <w:r>
        <w:rPr>
          <w:rFonts w:ascii="Times New Roman" w:hAnsi="Times New Roman"/>
          <w:b w:val="0"/>
          <w:sz w:val="28"/>
        </w:rPr>
        <w:t xml:space="preserve"> рубл</w:t>
      </w:r>
      <w:r>
        <w:rPr>
          <w:rFonts w:ascii="Times New Roman" w:hAnsi="Times New Roman"/>
          <w:b w:val="0"/>
          <w:sz w:val="28"/>
        </w:rPr>
        <w:t>я</w:t>
      </w:r>
      <w:r>
        <w:rPr>
          <w:rFonts w:ascii="Times New Roman" w:hAnsi="Times New Roman"/>
          <w:b w:val="0"/>
          <w:sz w:val="28"/>
        </w:rPr>
        <w:t xml:space="preserve"> (пре</w:t>
      </w:r>
      <w:r>
        <w:rPr>
          <w:rFonts w:ascii="Times New Roman" w:hAnsi="Times New Roman"/>
          <w:sz w:val="28"/>
        </w:rPr>
        <w:t>дварительные данные по полному кругу предприятий), темп роста - 11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%.</w:t>
      </w:r>
    </w:p>
    <w:p w14:paraId="97000000">
      <w:pPr>
        <w:ind w:firstLine="567" w:left="0"/>
        <w:jc w:val="both"/>
      </w:pPr>
      <w:r>
        <w:rPr>
          <w:rFonts w:ascii="Times New Roman" w:hAnsi="Times New Roman"/>
          <w:sz w:val="28"/>
        </w:rPr>
        <w:t>По итогам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номинальная величина среднемесячной начисленной заработной платы работников крупных и средних организаций города составила 32117,7</w:t>
      </w:r>
      <w:r>
        <w:rPr>
          <w:rFonts w:ascii="Times New Roman" w:hAnsi="Times New Roman"/>
          <w:sz w:val="28"/>
        </w:rPr>
        <w:t xml:space="preserve"> рублей, темп роста составил 1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>%.</w:t>
      </w:r>
    </w:p>
    <w:p w14:paraId="98000000">
      <w:pPr>
        <w:ind w:firstLine="425" w:left="0"/>
        <w:jc w:val="both"/>
      </w:pPr>
      <w:r>
        <w:rPr>
          <w:rFonts w:ascii="Times New Roman" w:hAnsi="Times New Roman"/>
          <w:sz w:val="28"/>
        </w:rPr>
        <w:t>Рост среднемесячной заработной платы обусловлен: увеличением заработной платы в бюджетной сфере - отдельных категорий работников муниципальных учреждений с целью доведения их заработной платы до установленных критериев, повышение оплаты труда которых предусмотрено Указами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 – 2017 годы»; повышением с 01 января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минимального размера оплаты труда до 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890</w:t>
      </w:r>
      <w:r>
        <w:rPr>
          <w:rFonts w:ascii="Times New Roman" w:hAnsi="Times New Roman"/>
          <w:sz w:val="28"/>
        </w:rPr>
        <w:t xml:space="preserve"> рублей</w:t>
      </w:r>
      <w:r>
        <w:rPr>
          <w:rFonts w:ascii="Times New Roman" w:hAnsi="Times New Roman"/>
          <w:sz w:val="28"/>
        </w:rPr>
        <w:t xml:space="preserve"> и с 01.06.2022 до 15279 рублей</w:t>
      </w:r>
      <w:r>
        <w:rPr>
          <w:rFonts w:ascii="Times New Roman" w:hAnsi="Times New Roman"/>
          <w:sz w:val="28"/>
        </w:rPr>
        <w:t>.</w:t>
      </w:r>
    </w:p>
    <w:p w14:paraId="99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прогнозируемом периоде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планируется ежегодное увеличение среднемесячной заработной платы: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на 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 xml:space="preserve"> %,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на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%, в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на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%</w:t>
      </w:r>
      <w:r>
        <w:rPr>
          <w:rFonts w:ascii="Times New Roman" w:hAnsi="Times New Roman"/>
          <w:sz w:val="28"/>
        </w:rPr>
        <w:t>.</w:t>
      </w:r>
    </w:p>
    <w:p w14:paraId="9A000000">
      <w:pPr>
        <w:ind w:firstLine="567" w:left="0"/>
        <w:jc w:val="both"/>
      </w:pPr>
      <w:r>
        <w:rPr>
          <w:rFonts w:ascii="Times New Roman" w:hAnsi="Times New Roman"/>
          <w:sz w:val="28"/>
        </w:rPr>
        <w:t>Прогнозирование размера среднемесячной заработной платы осуществлено с учётом: повышения с 01 января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года минимального размера оплаты труда </w:t>
      </w:r>
      <w:r>
        <w:rPr>
          <w:rFonts w:ascii="Times New Roman" w:hAnsi="Times New Roman"/>
          <w:sz w:val="28"/>
        </w:rPr>
        <w:t>до 16242</w:t>
      </w:r>
      <w:r>
        <w:rPr>
          <w:rFonts w:ascii="Arial" w:hAnsi="Arial"/>
          <w:sz w:val="24"/>
        </w:rPr>
        <w:t xml:space="preserve"> </w:t>
      </w:r>
      <w:r>
        <w:rPr>
          <w:rFonts w:ascii="Times New Roman" w:hAnsi="Times New Roman"/>
          <w:sz w:val="28"/>
        </w:rPr>
        <w:t>рублей, обеспечение</w:t>
      </w:r>
      <w:r>
        <w:rPr>
          <w:rFonts w:ascii="Times New Roman" w:hAnsi="Times New Roman"/>
          <w:sz w:val="28"/>
        </w:rPr>
        <w:t xml:space="preserve"> достижения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целевых значений соотношения средней заработной платы работников к средней заработной плате по Ростовской области, повышение оплаты труда которых предусмотрено Указами Президента Российской Федерации от 07.05.2012 № 597, от 01.06.2012 № 761.</w:t>
      </w:r>
    </w:p>
    <w:p w14:paraId="9B000000">
      <w:pPr>
        <w:ind w:firstLine="425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прогнозируемом периоде 2022-2024 годы планируется ежегодное увеличение среднемесячной заработной платы: в 2022 году на 4,11 %, в 2023 году на 4,12 %, в 2024 году на 4,13 %, что составит соответственно: 26134,27; 27209,75; 28332,4.</w:t>
      </w:r>
    </w:p>
    <w:p w14:paraId="9C000000">
      <w:pPr>
        <w:ind/>
        <w:jc w:val="both"/>
      </w:pPr>
      <w:r>
        <w:rPr>
          <w:rFonts w:ascii="Times New Roman" w:hAnsi="Times New Roman"/>
          <w:color w:val="000000"/>
          <w:sz w:val="28"/>
        </w:rPr>
        <w:t>Прогнозирование размера среднемесячной заработной платы осуществлено с учётом: повышения с 01 января 2023 года минимального размера оплаты труда до 16242 рублей, обеспечение достижения в 2023 году целевых значений соотношения средней заработной платы работников к средней заработной плате по Ростовской области и по муниципальному образованию «Город Донецк», повышение оплаты труда которых предусмотрено Указами Президента Российской Федерации от 07.05.2012 № 597, от 01.06.2012</w:t>
      </w:r>
      <w:r>
        <w:rPr>
          <w:rFonts w:ascii="Times New Roman" w:hAnsi="Times New Roman"/>
          <w:color w:val="000000"/>
          <w:sz w:val="28"/>
        </w:rPr>
        <w:t xml:space="preserve"> № 761;</w:t>
      </w:r>
      <w:r>
        <w:rPr>
          <w:rFonts w:ascii="Times New Roman" w:hAnsi="Times New Roman"/>
          <w:sz w:val="28"/>
        </w:rPr>
        <w:t xml:space="preserve">     </w:t>
      </w:r>
    </w:p>
    <w:p w14:paraId="9D000000">
      <w:pPr>
        <w:ind w:firstLine="567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Среднемесячная номинальная начисленная </w:t>
      </w:r>
      <w:r>
        <w:rPr>
          <w:rFonts w:ascii="Times New Roman" w:hAnsi="Times New Roman"/>
          <w:b w:val="0"/>
          <w:color w:val="000000"/>
          <w:sz w:val="28"/>
        </w:rPr>
        <w:t>за</w:t>
      </w:r>
      <w:r>
        <w:rPr>
          <w:rFonts w:ascii="Times New Roman" w:hAnsi="Times New Roman"/>
          <w:b w:val="0"/>
          <w:color w:val="000000"/>
          <w:sz w:val="28"/>
        </w:rPr>
        <w:t>работная плата работников муниципальных дошкольных образовательных учреждений</w:t>
      </w:r>
      <w:r>
        <w:rPr>
          <w:rFonts w:ascii="Times New Roman" w:hAnsi="Times New Roman"/>
          <w:b w:val="0"/>
          <w:color w:val="000000"/>
          <w:sz w:val="28"/>
        </w:rPr>
        <w:t xml:space="preserve"> в 2022 году составила </w:t>
      </w:r>
      <w:r>
        <w:rPr>
          <w:rFonts w:ascii="Times New Roman" w:hAnsi="Times New Roman"/>
          <w:b w:val="0"/>
          <w:color w:val="000000"/>
          <w:sz w:val="28"/>
        </w:rPr>
        <w:t>24765,2</w:t>
      </w:r>
      <w:r>
        <w:rPr>
          <w:rFonts w:ascii="Times New Roman" w:hAnsi="Times New Roman"/>
          <w:b w:val="0"/>
          <w:color w:val="000000"/>
          <w:sz w:val="28"/>
        </w:rPr>
        <w:t xml:space="preserve"> рублей, в 2021 году составляла – 22434,5 рублей. </w:t>
      </w:r>
      <w:r>
        <w:rPr>
          <w:rFonts w:ascii="Times New Roman" w:hAnsi="Times New Roman"/>
          <w:b w:val="0"/>
          <w:color w:val="000000"/>
          <w:sz w:val="28"/>
        </w:rPr>
        <w:t xml:space="preserve">Рост среднемесячной заработной платы работников в 2022 году по сравнению с 2021 годом обусловлен доведением средней заработной платы педагогических работников до 100 % средней заработной платы в сфере общего образования по муниципальному образованию «Город Донецк» – 31652,13 рублей, увеличением минимального размера оплаты труда до 13890 рублей с 01.01.2022 года и с 01.06.2022 года до 15279 рублей. </w:t>
      </w:r>
      <w:r>
        <w:rPr>
          <w:rFonts w:ascii="Times New Roman" w:hAnsi="Times New Roman"/>
          <w:b w:val="0"/>
          <w:color w:val="000000"/>
          <w:sz w:val="28"/>
        </w:rPr>
        <w:t xml:space="preserve">Прогнозное значение показателя на 2023 год – 26169,3 рублей, на 2024 год – 27320,7 рублей, на 2025 год – 28413,5 рублей. </w:t>
      </w:r>
    </w:p>
    <w:p w14:paraId="9E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>Среднемесячная номинальная начисленная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заработная плата работников муниципальных общеобразовательных учреждений</w:t>
      </w:r>
      <w:r>
        <w:rPr>
          <w:rFonts w:ascii="Times New Roman" w:hAnsi="Times New Roman"/>
          <w:b w:val="0"/>
          <w:color w:val="000000"/>
          <w:sz w:val="28"/>
        </w:rPr>
        <w:t xml:space="preserve"> в 2022 году составила </w:t>
      </w:r>
      <w:r>
        <w:rPr>
          <w:rFonts w:ascii="Times New Roman" w:hAnsi="Times New Roman"/>
          <w:b w:val="0"/>
          <w:color w:val="000000"/>
          <w:sz w:val="28"/>
        </w:rPr>
        <w:t>32012,9</w:t>
      </w:r>
      <w:r>
        <w:rPr>
          <w:rFonts w:ascii="Times New Roman" w:hAnsi="Times New Roman"/>
          <w:b w:val="0"/>
          <w:color w:val="000000"/>
          <w:sz w:val="28"/>
        </w:rPr>
        <w:t xml:space="preserve"> рублей, в 2021 году составляла – 26264,1 руб</w:t>
      </w:r>
      <w:r>
        <w:rPr>
          <w:rFonts w:ascii="Times New Roman" w:hAnsi="Times New Roman"/>
          <w:color w:val="000000"/>
          <w:sz w:val="28"/>
        </w:rPr>
        <w:t xml:space="preserve">лей. </w:t>
      </w:r>
      <w:r>
        <w:rPr>
          <w:rFonts w:ascii="Times New Roman" w:hAnsi="Times New Roman"/>
          <w:color w:val="000000"/>
          <w:sz w:val="28"/>
        </w:rPr>
        <w:t>Рост среднемесячной заработной платы работников в 2022 году по сравнению с 2021 годом обусловлен доведением средней заработной платы педагогических работников образовательных учреждений общего образования к средней заработной плате по Ростовской области до 100 % - 35569,3 рублей, увеличением минимального размера оплаты труда до 13890 рублей с 01.01.2022 года и с 01.06.2022 года до 15279 рублей.</w:t>
      </w:r>
      <w:r>
        <w:rPr>
          <w:rFonts w:ascii="Times New Roman" w:hAnsi="Times New Roman"/>
          <w:color w:val="000000"/>
          <w:sz w:val="28"/>
        </w:rPr>
        <w:t xml:space="preserve"> Прогнозное значение показателя на 2023 год – 33409,4 рублей, на 2024 год – 34745,8 рублей, на 2025 год – 36135,6 рублей.</w:t>
      </w:r>
    </w:p>
    <w:p w14:paraId="9F000000">
      <w:pPr>
        <w:ind w:firstLine="425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Ростовской области до 100 % - 35569,3  рублей, увеличением минимального размера оплаты труда до 13890  рублей с 01.01.2022 года и с 01.06.2022 года до 15279 рублей.   </w:t>
      </w:r>
    </w:p>
    <w:p w14:paraId="A0000000">
      <w:pPr>
        <w:tabs>
          <w:tab w:leader="none" w:pos="709" w:val="left"/>
        </w:tabs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Прогнозное значение показателя на 2023 год – 39151,8 рубля, на 2024 год – 41640,9 рублей, на 2025 год – 44555,8 рублей.</w:t>
      </w:r>
    </w:p>
    <w:p w14:paraId="A1000000">
      <w:pPr>
        <w:ind w:firstLine="425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1"/>
          <w:color w:val="000000"/>
          <w:sz w:val="28"/>
        </w:rPr>
        <w:t>Размер среднемесячной номинальной начисленной заработной платы рабо</w:t>
      </w:r>
      <w:r>
        <w:rPr>
          <w:rFonts w:ascii="Times New Roman" w:hAnsi="Times New Roman"/>
          <w:b w:val="1"/>
          <w:color w:val="000000"/>
          <w:sz w:val="28"/>
        </w:rPr>
        <w:t>тникам муниципальных учрежде</w:t>
      </w:r>
      <w:r>
        <w:rPr>
          <w:rFonts w:ascii="Times New Roman" w:hAnsi="Times New Roman"/>
          <w:b w:val="1"/>
          <w:color w:val="000000"/>
          <w:sz w:val="28"/>
        </w:rPr>
        <w:t>ний культуры и искусства</w:t>
      </w:r>
      <w:r>
        <w:rPr>
          <w:rFonts w:ascii="Times New Roman" w:hAnsi="Times New Roman"/>
          <w:sz w:val="28"/>
        </w:rPr>
        <w:t xml:space="preserve">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 </w:t>
      </w:r>
      <w:r>
        <w:rPr>
          <w:rFonts w:ascii="Times New Roman" w:hAnsi="Times New Roman"/>
          <w:b w:val="1"/>
          <w:sz w:val="28"/>
        </w:rPr>
        <w:t>37649,7</w:t>
      </w:r>
      <w:r>
        <w:rPr>
          <w:rFonts w:ascii="Times New Roman" w:hAnsi="Times New Roman"/>
          <w:sz w:val="28"/>
        </w:rPr>
        <w:t xml:space="preserve"> рублей,</w:t>
      </w:r>
      <w:r>
        <w:rPr>
          <w:rFonts w:ascii="Times New Roman" w:hAnsi="Times New Roman"/>
          <w:sz w:val="28"/>
        </w:rPr>
        <w:t xml:space="preserve"> превысив заработную плату за соответствующий период 2020 года на 1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%.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Прогнозное значение показателя на 2023 год – 38663,80 рублей, 2024 год – 41640,90 рублей, на 2025 год – 44555,80 рублей.</w:t>
      </w:r>
    </w:p>
    <w:p w14:paraId="A2000000">
      <w:pPr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Среднемесячная номинальная начисленная заработная плата работников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муниципальных учреждений физической культуры и спорта</w:t>
      </w:r>
      <w:r>
        <w:rPr>
          <w:rFonts w:ascii="Times New Roman" w:hAnsi="Times New Roman"/>
          <w:color w:val="000000"/>
          <w:sz w:val="28"/>
        </w:rPr>
        <w:t xml:space="preserve"> в 2022 году составила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32640,2</w:t>
      </w:r>
      <w:r>
        <w:rPr>
          <w:rFonts w:ascii="Times New Roman" w:hAnsi="Times New Roman"/>
          <w:color w:val="000000"/>
          <w:sz w:val="28"/>
        </w:rPr>
        <w:t xml:space="preserve"> рублей, в 2021 году составляла – 28611,8 рублей. </w:t>
      </w:r>
      <w:r>
        <w:rPr>
          <w:rFonts w:ascii="Times New Roman" w:hAnsi="Times New Roman"/>
          <w:color w:val="000000"/>
          <w:sz w:val="28"/>
        </w:rPr>
        <w:t>Рост среднемесячной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заработной платы работников в 2022 году по сравнению с 2021 годом обусловлен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доведением средней заработной платы педагогических работников образовательных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учреждений дополнительного образования детей к средней заработной плате учителей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 муниципальному образования «Город Донецк» до 100 % - 38727,61 рублей,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увеличением минимального размера оплаты труда до 13890 рублей с 01.01.2022 года 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 01.06.2022 года до 15279 рублей.</w:t>
      </w:r>
      <w:r>
        <w:rPr>
          <w:rFonts w:ascii="Times New Roman" w:hAnsi="Times New Roman"/>
          <w:color w:val="000000"/>
          <w:sz w:val="28"/>
        </w:rPr>
        <w:t xml:space="preserve"> Прогнозное значение показателя на 2023 год –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32412,7 рублей, на 2024 год – 33709,2 рублей, на 2025 год – 35057,6 рублей.</w:t>
      </w:r>
    </w:p>
    <w:p w14:paraId="A3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31.</w:t>
      </w:r>
      <w:r>
        <w:rPr>
          <w:rFonts w:ascii="Times New Roman" w:hAnsi="Times New Roman"/>
          <w:b w:val="1"/>
          <w:sz w:val="28"/>
        </w:rPr>
        <w:t xml:space="preserve">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14:paraId="A4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налоговых и неналоговых доходов в общем объеме собственных доходов бюджета города 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увеличилась по отношению к 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году с </w:t>
      </w:r>
      <w:r>
        <w:rPr>
          <w:rFonts w:ascii="Times New Roman" w:hAnsi="Times New Roman"/>
          <w:sz w:val="28"/>
        </w:rPr>
        <w:t>15,</w:t>
      </w:r>
      <w:r>
        <w:rPr>
          <w:rFonts w:ascii="Times New Roman" w:hAnsi="Times New Roman"/>
          <w:sz w:val="28"/>
        </w:rPr>
        <w:t>75</w:t>
      </w:r>
      <w:r>
        <w:rPr>
          <w:rFonts w:ascii="Times New Roman" w:hAnsi="Times New Roman"/>
          <w:sz w:val="28"/>
        </w:rPr>
        <w:t xml:space="preserve"> % до </w:t>
      </w:r>
      <w:r>
        <w:rPr>
          <w:rFonts w:ascii="Times New Roman" w:hAnsi="Times New Roman"/>
          <w:sz w:val="28"/>
        </w:rPr>
        <w:t>22,74</w:t>
      </w:r>
      <w:r>
        <w:rPr>
          <w:rFonts w:ascii="Times New Roman" w:hAnsi="Times New Roman"/>
          <w:sz w:val="28"/>
        </w:rPr>
        <w:t>% .</w:t>
      </w:r>
    </w:p>
    <w:p w14:paraId="A5000000">
      <w:pPr>
        <w:ind w:firstLine="567" w:left="0"/>
        <w:jc w:val="both"/>
      </w:pPr>
      <w:r>
        <w:rPr>
          <w:rFonts w:ascii="Times New Roman" w:hAnsi="Times New Roman"/>
          <w:sz w:val="28"/>
        </w:rPr>
        <w:t>Рост доли налоговых и неналоговых доходов в общем объеме собственных доходов бюджета города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связан с увеличением дополнительного норматива отчислений в бюджет города Донецка от налога на доходы физических лиц.</w:t>
      </w:r>
    </w:p>
    <w:p w14:paraId="A6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Плановые значения данного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составят </w:t>
      </w:r>
      <w:r>
        <w:rPr>
          <w:rFonts w:ascii="Times New Roman" w:hAnsi="Times New Roman"/>
          <w:sz w:val="28"/>
        </w:rPr>
        <w:t xml:space="preserve">21,64 </w:t>
      </w:r>
      <w:r>
        <w:rPr>
          <w:rFonts w:ascii="Times New Roman" w:hAnsi="Times New Roman"/>
          <w:sz w:val="28"/>
        </w:rPr>
        <w:t>%, на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– </w:t>
      </w:r>
      <w:r>
        <w:rPr>
          <w:rFonts w:ascii="Times New Roman" w:hAnsi="Times New Roman"/>
          <w:sz w:val="28"/>
        </w:rPr>
        <w:t xml:space="preserve">31,39 </w:t>
      </w:r>
      <w:r>
        <w:rPr>
          <w:rFonts w:ascii="Times New Roman" w:hAnsi="Times New Roman"/>
          <w:sz w:val="28"/>
        </w:rPr>
        <w:t>%,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–</w:t>
      </w:r>
      <w:r>
        <w:rPr>
          <w:rFonts w:ascii="Times New Roman" w:hAnsi="Times New Roman"/>
          <w:sz w:val="28"/>
        </w:rPr>
        <w:t xml:space="preserve">42,64 </w:t>
      </w:r>
      <w:r>
        <w:rPr>
          <w:rFonts w:ascii="Times New Roman" w:hAnsi="Times New Roman"/>
          <w:sz w:val="28"/>
        </w:rPr>
        <w:t>%.</w:t>
      </w:r>
    </w:p>
    <w:p w14:paraId="A7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32</w:t>
      </w:r>
      <w:r>
        <w:rPr>
          <w:rFonts w:ascii="Times New Roman" w:hAnsi="Times New Roman"/>
          <w:b w:val="1"/>
          <w:sz w:val="28"/>
        </w:rPr>
        <w:t xml:space="preserve">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стоимости). </w:t>
      </w:r>
    </w:p>
    <w:p w14:paraId="A8000000">
      <w:pPr>
        <w:ind w:firstLine="567" w:left="0"/>
        <w:jc w:val="both"/>
      </w:pPr>
      <w:r>
        <w:rPr>
          <w:rFonts w:ascii="Times New Roman" w:hAnsi="Times New Roman"/>
          <w:sz w:val="28"/>
        </w:rPr>
        <w:t>Доля основных фондов организаций муниципальной формы собственности, находящихся в стадии банкротства в основных фондах организаций муниципальной формы собственности (на конец года, по полной учетной стоимости)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0%.</w:t>
      </w:r>
    </w:p>
    <w:p w14:paraId="A9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 период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будет равна 0 %.</w:t>
      </w:r>
    </w:p>
    <w:p w14:paraId="AA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33. Объем не завершенного в установленные сроки строительства, осуществляемого за счет сре</w:t>
      </w:r>
      <w:r>
        <w:rPr>
          <w:rFonts w:ascii="Times New Roman" w:hAnsi="Times New Roman"/>
          <w:b w:val="1"/>
          <w:sz w:val="28"/>
        </w:rPr>
        <w:t>дств бюджета городского округа (муниципального района).</w:t>
      </w:r>
    </w:p>
    <w:p w14:paraId="AB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2022 год показатель не предусмотрен.</w:t>
      </w:r>
    </w:p>
    <w:p w14:paraId="AC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планируемые периоды 2023-2025 годов такие объекты незавершенного строительства не предусматриваются.</w:t>
      </w:r>
    </w:p>
    <w:p w14:paraId="AD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34. Доля просроченной кредиторской задолженности по оплате труда (включая начис</w:t>
      </w:r>
      <w:r>
        <w:rPr>
          <w:rFonts w:ascii="Times New Roman" w:hAnsi="Times New Roman"/>
          <w:b w:val="1"/>
          <w:sz w:val="28"/>
        </w:rPr>
        <w:t>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14:paraId="AE000000">
      <w:pPr>
        <w:ind w:firstLine="567" w:left="0"/>
        <w:jc w:val="both"/>
      </w:pPr>
      <w:r>
        <w:rPr>
          <w:rFonts w:ascii="Times New Roman" w:hAnsi="Times New Roman"/>
          <w:sz w:val="28"/>
        </w:rPr>
        <w:t>На 2022 год значение показателя не установлено.</w:t>
      </w:r>
    </w:p>
    <w:p w14:paraId="AF000000">
      <w:pPr>
        <w:ind w:firstLine="567" w:left="0"/>
        <w:jc w:val="both"/>
      </w:pPr>
      <w:r>
        <w:rPr>
          <w:rFonts w:ascii="Times New Roman" w:hAnsi="Times New Roman"/>
          <w:sz w:val="28"/>
        </w:rPr>
        <w:t>В плановые периоды 2023-2025 годы просроченная кредиторская задолженность по оплате труда (включая начисления на оплату труда) отсутствуе</w:t>
      </w:r>
      <w:r>
        <w:rPr>
          <w:rFonts w:ascii="Times New Roman" w:hAnsi="Times New Roman"/>
          <w:sz w:val="28"/>
        </w:rPr>
        <w:t>т.</w:t>
      </w:r>
    </w:p>
    <w:p w14:paraId="B0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35</w:t>
      </w:r>
      <w:r>
        <w:rPr>
          <w:rFonts w:ascii="Times New Roman" w:hAnsi="Times New Roman"/>
          <w:b w:val="1"/>
          <w:sz w:val="28"/>
        </w:rPr>
        <w:t>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14:paraId="B1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значение показателя (</w:t>
      </w:r>
      <w:r>
        <w:rPr>
          <w:rFonts w:ascii="Times New Roman" w:hAnsi="Times New Roman"/>
          <w:sz w:val="28"/>
        </w:rPr>
        <w:t>1 027,01</w:t>
      </w:r>
      <w:r>
        <w:rPr>
          <w:rFonts w:ascii="Times New Roman" w:hAnsi="Times New Roman"/>
          <w:sz w:val="28"/>
        </w:rPr>
        <w:t xml:space="preserve"> руб.) увеличилось, поскольку  увеличились расходы на содержание работников органов местного самоуправления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году.</w:t>
      </w:r>
    </w:p>
    <w:p w14:paraId="B2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Показатель составил – </w:t>
      </w:r>
      <w:r>
        <w:rPr>
          <w:rFonts w:ascii="Times New Roman" w:hAnsi="Times New Roman"/>
          <w:b w:val="1"/>
          <w:sz w:val="28"/>
        </w:rPr>
        <w:t>1 224,26</w:t>
      </w:r>
      <w:r>
        <w:rPr>
          <w:rFonts w:ascii="Times New Roman" w:hAnsi="Times New Roman"/>
          <w:b w:val="1"/>
          <w:sz w:val="28"/>
        </w:rPr>
        <w:t xml:space="preserve"> руб</w:t>
      </w:r>
      <w:r>
        <w:rPr>
          <w:rFonts w:ascii="Times New Roman" w:hAnsi="Times New Roman"/>
          <w:sz w:val="28"/>
        </w:rPr>
        <w:t xml:space="preserve">лей, что вызвано ростом заработной платы муниципальных служащих в соответствии </w:t>
      </w:r>
      <w:r>
        <w:rPr>
          <w:rFonts w:ascii="Times New Roman" w:hAnsi="Times New Roman"/>
          <w:sz w:val="28"/>
        </w:rPr>
        <w:t xml:space="preserve">повышением </w:t>
      </w:r>
      <w:r>
        <w:rPr>
          <w:rFonts w:ascii="Times New Roman" w:hAnsi="Times New Roman"/>
          <w:sz w:val="28"/>
        </w:rPr>
        <w:t xml:space="preserve">уровня инфляции, не превышающего </w:t>
      </w:r>
      <w:r>
        <w:rPr>
          <w:rFonts w:ascii="Times New Roman" w:hAnsi="Times New Roman"/>
          <w:sz w:val="28"/>
        </w:rPr>
        <w:t>4,</w:t>
      </w:r>
      <w:r>
        <w:rPr>
          <w:rFonts w:ascii="Times New Roman" w:hAnsi="Times New Roman"/>
          <w:sz w:val="28"/>
        </w:rPr>
        <w:t>0 процента (декабрь 2022 года к декабрю 2021 года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14:paraId="B3000000">
      <w:pPr>
        <w:ind w:firstLine="567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 При формировании бюджета города Донецка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расходы на содержание работников органов местного самоуправления запланированы исходя из штатной численности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и с учетом </w:t>
      </w:r>
      <w:r>
        <w:rPr>
          <w:rFonts w:ascii="Times New Roman" w:hAnsi="Times New Roman"/>
          <w:sz w:val="28"/>
        </w:rPr>
        <w:t>уровня инфляции, не превышающего 5,5 процента (декабрь 2023 года к декабрю 2022 года)</w:t>
      </w:r>
      <w:r>
        <w:rPr>
          <w:rFonts w:ascii="Times New Roman" w:hAnsi="Times New Roman"/>
          <w:sz w:val="28"/>
        </w:rPr>
        <w:t xml:space="preserve">. </w:t>
      </w:r>
    </w:p>
    <w:p w14:paraId="B4000000">
      <w:pPr>
        <w:ind w:firstLine="567" w:left="0"/>
        <w:jc w:val="both"/>
      </w:pPr>
      <w:r>
        <w:rPr>
          <w:rFonts w:ascii="Times New Roman" w:hAnsi="Times New Roman"/>
          <w:sz w:val="28"/>
        </w:rPr>
        <w:t>Плановый показатель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 составит </w:t>
      </w:r>
      <w:r>
        <w:rPr>
          <w:rFonts w:ascii="Times New Roman" w:hAnsi="Times New Roman"/>
          <w:sz w:val="28"/>
        </w:rPr>
        <w:t>1 430,27</w:t>
      </w:r>
      <w:r>
        <w:rPr>
          <w:rFonts w:ascii="Times New Roman" w:hAnsi="Times New Roman"/>
          <w:sz w:val="28"/>
        </w:rPr>
        <w:t xml:space="preserve"> рублей, на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 – </w:t>
      </w:r>
      <w:r>
        <w:rPr>
          <w:rFonts w:ascii="Times New Roman" w:hAnsi="Times New Roman"/>
          <w:sz w:val="28"/>
        </w:rPr>
        <w:t>1 474,81</w:t>
      </w:r>
      <w:r>
        <w:rPr>
          <w:rFonts w:ascii="Times New Roman" w:hAnsi="Times New Roman"/>
          <w:sz w:val="28"/>
        </w:rPr>
        <w:t xml:space="preserve"> рублей,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 – </w:t>
      </w:r>
      <w:r>
        <w:rPr>
          <w:rFonts w:ascii="Times New Roman" w:hAnsi="Times New Roman"/>
          <w:sz w:val="28"/>
        </w:rPr>
        <w:t>1 540,70</w:t>
      </w:r>
      <w:r>
        <w:rPr>
          <w:rFonts w:ascii="Times New Roman" w:hAnsi="Times New Roman"/>
          <w:sz w:val="28"/>
        </w:rPr>
        <w:t xml:space="preserve"> рублей.</w:t>
      </w:r>
    </w:p>
    <w:p w14:paraId="B5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</w:r>
      <w:r>
        <w:rPr>
          <w:rFonts w:ascii="Times New Roman" w:hAnsi="Times New Roman"/>
          <w:b w:val="1"/>
          <w:sz w:val="28"/>
        </w:rPr>
        <w:t>.</w:t>
      </w:r>
    </w:p>
    <w:p w14:paraId="B6000000">
      <w:pPr>
        <w:ind w:firstLine="567" w:left="0"/>
        <w:jc w:val="both"/>
      </w:pPr>
      <w:r>
        <w:rPr>
          <w:rFonts w:ascii="Times New Roman" w:hAnsi="Times New Roman"/>
          <w:sz w:val="28"/>
        </w:rPr>
        <w:t>Генеральный план городского округа муниципального образования «Город Донецк» утвержден в 2010 году.  В сентябре 2021 года с целью актуализации в генеральный план внесены изменения.</w:t>
      </w:r>
    </w:p>
    <w:p w14:paraId="B7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37. Удовлетворенность населения деятельностью органов местного самоуправ</w:t>
      </w:r>
      <w:r>
        <w:rPr>
          <w:rFonts w:ascii="Times New Roman" w:hAnsi="Times New Roman"/>
          <w:b w:val="1"/>
          <w:sz w:val="28"/>
        </w:rPr>
        <w:t>ления городского округа (муниципального района).</w:t>
      </w:r>
    </w:p>
    <w:p w14:paraId="B8000000">
      <w:pPr>
        <w:ind w:firstLine="567" w:left="0"/>
        <w:jc w:val="both"/>
      </w:pPr>
      <w:r>
        <w:rPr>
          <w:rFonts w:ascii="Times New Roman" w:hAnsi="Times New Roman"/>
          <w:sz w:val="28"/>
        </w:rPr>
        <w:t>Удовлетворенность населения деятельностью органов местного самоуправления в  в 2022 году —</w:t>
      </w:r>
      <w:r>
        <w:rPr>
          <w:rFonts w:ascii="Times New Roman" w:hAnsi="Times New Roman"/>
          <w:b w:val="1"/>
          <w:sz w:val="28"/>
        </w:rPr>
        <w:t xml:space="preserve"> 52,6 %.</w:t>
      </w:r>
    </w:p>
    <w:p w14:paraId="B9000000">
      <w:pPr>
        <w:ind w:firstLine="567" w:left="0"/>
        <w:jc w:val="both"/>
      </w:pPr>
      <w:r>
        <w:rPr>
          <w:rFonts w:ascii="Times New Roman" w:hAnsi="Times New Roman"/>
          <w:sz w:val="28"/>
        </w:rPr>
        <w:t>В прогнозном периоде планируется повышение показателя до 55 % за счет проведения ряда компл</w:t>
      </w:r>
      <w:r>
        <w:rPr>
          <w:rFonts w:ascii="Times New Roman" w:hAnsi="Times New Roman"/>
          <w:sz w:val="28"/>
        </w:rPr>
        <w:t xml:space="preserve">ексных мероприятий, направленных на улучшение качества жизни населения, создание условий для обеспечения позитивных структурных изменений в экономике и социальной сфере, решения проблем сбалансированности, повышения эффективности и прозрачности управления </w:t>
      </w:r>
      <w:r>
        <w:rPr>
          <w:rFonts w:ascii="Times New Roman" w:hAnsi="Times New Roman"/>
          <w:sz w:val="28"/>
        </w:rPr>
        <w:t xml:space="preserve">муниципальными финансами. </w:t>
      </w:r>
    </w:p>
    <w:p w14:paraId="BA000000">
      <w:pPr>
        <w:ind w:firstLine="567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2023 год – 55 %, на 2024 год – 55 %, на 2025 год — 57%.</w:t>
      </w:r>
    </w:p>
    <w:p w14:paraId="BB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>Показатель 38. Среднегодовая численность постоянного населения.</w:t>
      </w:r>
    </w:p>
    <w:p w14:paraId="BC000000">
      <w:pPr>
        <w:ind w:firstLine="567" w:left="0"/>
        <w:jc w:val="both"/>
        <w:rPr>
          <w:b w:val="0"/>
        </w:rPr>
      </w:pPr>
      <w:r>
        <w:rPr>
          <w:rFonts w:ascii="Times New Roman" w:hAnsi="Times New Roman"/>
          <w:b w:val="0"/>
          <w:sz w:val="28"/>
        </w:rPr>
        <w:t>Демографическая ситуация в январе-декабре 202</w:t>
      </w:r>
      <w:r>
        <w:rPr>
          <w:rFonts w:ascii="Times New Roman" w:hAnsi="Times New Roman"/>
          <w:b w:val="0"/>
          <w:sz w:val="28"/>
        </w:rPr>
        <w:t>2</w:t>
      </w:r>
      <w:r>
        <w:rPr>
          <w:rFonts w:ascii="Times New Roman" w:hAnsi="Times New Roman"/>
          <w:b w:val="0"/>
          <w:sz w:val="28"/>
        </w:rPr>
        <w:t xml:space="preserve"> года характеризовалась увеличением как числа родившихся, так и числа умерших по сравнению с январем-декабрем 202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 xml:space="preserve"> года. </w:t>
      </w:r>
    </w:p>
    <w:p w14:paraId="BD000000">
      <w:pPr>
        <w:ind w:firstLine="567" w:left="0"/>
        <w:jc w:val="both"/>
      </w:pPr>
      <w:r>
        <w:rPr>
          <w:rFonts w:ascii="Times New Roman" w:hAnsi="Times New Roman"/>
          <w:sz w:val="28"/>
        </w:rPr>
        <w:t>Среднегодовая численность постоянного населения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>46,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sz w:val="28"/>
        </w:rPr>
        <w:t xml:space="preserve"> тыс. человек, что на 0,3 тыс. человек меньше показателя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года.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продолжился процесс сокращения численности населения, причиной снижения является естественная убыль населения: превышение числа умерших (за счёт старения населения) над родившимися в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67</w:t>
      </w:r>
      <w:r>
        <w:rPr>
          <w:rFonts w:ascii="Times New Roman" w:hAnsi="Times New Roman"/>
          <w:sz w:val="28"/>
        </w:rPr>
        <w:t xml:space="preserve"> раза. </w:t>
      </w:r>
    </w:p>
    <w:p w14:paraId="BE000000">
      <w:pPr>
        <w:tabs>
          <w:tab w:leader="none" w:pos="0" w:val="left"/>
        </w:tabs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январе-декабре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число родившихся </w:t>
      </w:r>
      <w:r>
        <w:rPr>
          <w:rFonts w:ascii="Times New Roman" w:hAnsi="Times New Roman"/>
          <w:sz w:val="28"/>
        </w:rPr>
        <w:t>уменьшилось</w:t>
      </w:r>
      <w:r>
        <w:rPr>
          <w:rFonts w:ascii="Times New Roman" w:hAnsi="Times New Roman"/>
          <w:sz w:val="28"/>
        </w:rPr>
        <w:t xml:space="preserve"> по сравнению с январем-декабрем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на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человек или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,0% и составило 28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младенцев. </w:t>
      </w:r>
    </w:p>
    <w:p w14:paraId="BF000000">
      <w:pPr>
        <w:widowControl w:val="0"/>
        <w:tabs>
          <w:tab w:leader="none" w:pos="0" w:val="left"/>
        </w:tabs>
        <w:ind w:firstLine="567" w:left="0"/>
        <w:jc w:val="both"/>
      </w:pPr>
      <w:r>
        <w:rPr>
          <w:rFonts w:ascii="Times New Roman" w:hAnsi="Times New Roman"/>
          <w:sz w:val="28"/>
        </w:rPr>
        <w:t>За 12 месяцев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года в городе Донецке умерло </w:t>
      </w:r>
      <w:r>
        <w:rPr>
          <w:rFonts w:ascii="Times New Roman" w:hAnsi="Times New Roman"/>
          <w:sz w:val="28"/>
        </w:rPr>
        <w:t>747</w:t>
      </w:r>
      <w:r>
        <w:rPr>
          <w:rFonts w:ascii="Times New Roman" w:hAnsi="Times New Roman"/>
          <w:sz w:val="28"/>
        </w:rPr>
        <w:t xml:space="preserve"> человек, что на </w:t>
      </w:r>
      <w:r>
        <w:rPr>
          <w:rFonts w:ascii="Times New Roman" w:hAnsi="Times New Roman"/>
          <w:sz w:val="28"/>
        </w:rPr>
        <w:t>158</w:t>
      </w:r>
      <w:r>
        <w:rPr>
          <w:rFonts w:ascii="Times New Roman" w:hAnsi="Times New Roman"/>
          <w:sz w:val="28"/>
        </w:rPr>
        <w:t xml:space="preserve"> человек, </w:t>
      </w:r>
      <w:r>
        <w:rPr>
          <w:rFonts w:ascii="Times New Roman" w:hAnsi="Times New Roman"/>
          <w:sz w:val="28"/>
        </w:rPr>
        <w:t xml:space="preserve">или на </w:t>
      </w:r>
      <w:r>
        <w:rPr>
          <w:rFonts w:ascii="Times New Roman" w:hAnsi="Times New Roman"/>
          <w:sz w:val="28"/>
        </w:rPr>
        <w:t>17</w:t>
      </w:r>
      <w:r>
        <w:rPr>
          <w:rFonts w:ascii="Times New Roman" w:hAnsi="Times New Roman"/>
          <w:sz w:val="28"/>
        </w:rPr>
        <w:t xml:space="preserve">,0% </w:t>
      </w:r>
      <w:r>
        <w:rPr>
          <w:rFonts w:ascii="Times New Roman" w:hAnsi="Times New Roman"/>
          <w:sz w:val="28"/>
        </w:rPr>
        <w:t>меньше</w:t>
      </w:r>
      <w:r>
        <w:rPr>
          <w:rFonts w:ascii="Times New Roman" w:hAnsi="Times New Roman"/>
          <w:sz w:val="28"/>
        </w:rPr>
        <w:t>, чем за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год.</w:t>
      </w:r>
    </w:p>
    <w:p w14:paraId="C0000000">
      <w:pPr>
        <w:ind w:firstLine="567" w:left="0"/>
        <w:jc w:val="both"/>
      </w:pPr>
      <w:r>
        <w:rPr>
          <w:rFonts w:ascii="Times New Roman" w:hAnsi="Times New Roman"/>
          <w:sz w:val="28"/>
        </w:rPr>
        <w:t xml:space="preserve">Естественная убыль населения </w:t>
      </w:r>
      <w:r>
        <w:rPr>
          <w:rFonts w:ascii="Times New Roman" w:hAnsi="Times New Roman"/>
          <w:sz w:val="28"/>
        </w:rPr>
        <w:t>уменьшилась</w:t>
      </w:r>
      <w:r>
        <w:rPr>
          <w:rFonts w:ascii="Times New Roman" w:hAnsi="Times New Roman"/>
          <w:sz w:val="28"/>
        </w:rPr>
        <w:t xml:space="preserve"> с </w:t>
      </w:r>
      <w:r>
        <w:rPr>
          <w:rFonts w:ascii="Times New Roman" w:hAnsi="Times New Roman"/>
          <w:sz w:val="28"/>
        </w:rPr>
        <w:t>619</w:t>
      </w:r>
      <w:r>
        <w:rPr>
          <w:rFonts w:ascii="Times New Roman" w:hAnsi="Times New Roman"/>
          <w:sz w:val="28"/>
        </w:rPr>
        <w:t xml:space="preserve"> человек в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году до </w:t>
      </w:r>
      <w:r>
        <w:rPr>
          <w:rFonts w:ascii="Times New Roman" w:hAnsi="Times New Roman"/>
          <w:sz w:val="28"/>
        </w:rPr>
        <w:t>467</w:t>
      </w:r>
      <w:r>
        <w:rPr>
          <w:rFonts w:ascii="Times New Roman" w:hAnsi="Times New Roman"/>
          <w:sz w:val="28"/>
        </w:rPr>
        <w:t xml:space="preserve"> человек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году.</w:t>
      </w:r>
    </w:p>
    <w:p w14:paraId="C1000000">
      <w:pPr>
        <w:widowControl w:val="0"/>
        <w:tabs>
          <w:tab w:leader="none" w:pos="0" w:val="left"/>
        </w:tabs>
        <w:ind w:firstLine="425" w:left="0"/>
        <w:jc w:val="both"/>
      </w:pPr>
      <w:r>
        <w:rPr>
          <w:rFonts w:ascii="Times New Roman" w:hAnsi="Times New Roman"/>
          <w:sz w:val="28"/>
        </w:rPr>
        <w:t>За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 миграционный прирост населения города составил </w:t>
      </w:r>
      <w:r>
        <w:rPr>
          <w:rFonts w:ascii="Times New Roman" w:hAnsi="Times New Roman"/>
          <w:sz w:val="28"/>
        </w:rPr>
        <w:t>174</w:t>
      </w:r>
      <w:r>
        <w:rPr>
          <w:rFonts w:ascii="Times New Roman" w:hAnsi="Times New Roman"/>
          <w:sz w:val="28"/>
        </w:rPr>
        <w:t xml:space="preserve"> человека (в январе-декабре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миграционный прирост составлял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 xml:space="preserve"> человек). Число граждан, прибывших в город составило – </w:t>
      </w:r>
      <w:r>
        <w:rPr>
          <w:rFonts w:ascii="Times New Roman" w:hAnsi="Times New Roman"/>
          <w:sz w:val="28"/>
        </w:rPr>
        <w:t>995</w:t>
      </w:r>
      <w:r>
        <w:rPr>
          <w:rFonts w:ascii="Times New Roman" w:hAnsi="Times New Roman"/>
          <w:sz w:val="28"/>
        </w:rPr>
        <w:t xml:space="preserve"> человек, выбывших – </w:t>
      </w:r>
      <w:r>
        <w:rPr>
          <w:rFonts w:ascii="Times New Roman" w:hAnsi="Times New Roman"/>
          <w:sz w:val="28"/>
        </w:rPr>
        <w:t>821</w:t>
      </w:r>
      <w:r>
        <w:rPr>
          <w:rFonts w:ascii="Times New Roman" w:hAnsi="Times New Roman"/>
          <w:sz w:val="28"/>
        </w:rPr>
        <w:t xml:space="preserve"> человек.</w:t>
      </w:r>
    </w:p>
    <w:p w14:paraId="C2000000">
      <w:pPr>
        <w:widowControl w:val="0"/>
        <w:tabs>
          <w:tab w:leader="none" w:pos="0" w:val="left"/>
        </w:tabs>
        <w:ind w:firstLine="425" w:left="0"/>
        <w:jc w:val="both"/>
      </w:pPr>
      <w:r>
        <w:rPr>
          <w:rFonts w:ascii="Times New Roman" w:hAnsi="Times New Roman"/>
          <w:sz w:val="28"/>
        </w:rPr>
        <w:t>Миграционный прирост населения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не компенсировал естественную убыль населения города. </w:t>
      </w:r>
    </w:p>
    <w:p w14:paraId="C3000000">
      <w:pPr>
        <w:widowControl w:val="0"/>
        <w:tabs>
          <w:tab w:leader="none" w:pos="0" w:val="left"/>
        </w:tabs>
        <w:ind w:firstLine="425" w:left="0"/>
        <w:jc w:val="both"/>
      </w:pPr>
      <w:r>
        <w:rPr>
          <w:rFonts w:ascii="Times New Roman" w:hAnsi="Times New Roman"/>
          <w:sz w:val="28"/>
        </w:rPr>
        <w:t xml:space="preserve">Происходит отток рабочей силы трудоспособного возраста (в большей степени мужской части населения и молодёжи) за пределы города на временное и постоянное проживание на территории трудоустройства. </w:t>
      </w:r>
    </w:p>
    <w:p w14:paraId="C4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 среднегодовой численности постоянного населения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составлен с учетом изменения численности постоянного населения за предыдущие годы, естественной убыли населения и динамики миграционных процессов. По прогнозным оценкам, в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годах продолжится снижение численности населения, соотношение превышения смертности над рождаемостью сохранится.</w:t>
      </w:r>
    </w:p>
    <w:p w14:paraId="C5000000">
      <w:pPr>
        <w:ind w:firstLine="425" w:left="0"/>
        <w:jc w:val="both"/>
      </w:pPr>
      <w:r>
        <w:rPr>
          <w:rFonts w:ascii="Times New Roman" w:hAnsi="Times New Roman"/>
          <w:sz w:val="28"/>
        </w:rPr>
        <w:t>Улучшение демографической ситуации и замедление темпов снижения численности населения в прогнозируемом периоде планируется посредством реализации мероприятий, направленных на улучшение демографической ситуации: «Плана мероприятий по реализации Концепции демографической политики Ростовской области на период до 2025 года по муниципальному образованию «Город Донецк», мониторинга реализации Указов Президента Российской Федерации от 7 мая 2012 года, исполнения мероприятий, содержащихся в «дорожных картах» и выполнения Плана мероприяти</w:t>
      </w:r>
      <w:r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по реализации Указов Президента Российской Федерации на территории муниципального образования «Город Донецк», стратегии социально-экономического развития муниципального образования «Город Донецк» до 2030 года, мероприятий муниципальных программ «Развитие здравоохранения муниципального образования «Город Донецк», «Социальная поддержка и социальное обслуживание населения муниципального образования «Город Донецк», реализации мероприятий в рамках присвоенного городу статуса территории опережающего социально-экономического развития «Донецк».</w:t>
      </w:r>
    </w:p>
    <w:p w14:paraId="C6000000">
      <w:pPr>
        <w:ind w:firstLine="709" w:left="0"/>
        <w:jc w:val="both"/>
      </w:pPr>
      <w:r>
        <w:rPr>
          <w:rFonts w:ascii="Times New Roman" w:hAnsi="Times New Roman"/>
          <w:b w:val="1"/>
          <w:sz w:val="28"/>
        </w:rPr>
        <w:t>Показатель 39. Удельная величина потребления энергетических ресурсов в многоквартирных домах.</w:t>
      </w:r>
    </w:p>
    <w:p w14:paraId="C7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электрической энергии</w:t>
      </w:r>
      <w:r>
        <w:rPr>
          <w:rFonts w:ascii="Times New Roman" w:hAnsi="Times New Roman"/>
          <w:sz w:val="28"/>
        </w:rPr>
        <w:t xml:space="preserve"> в многоквартирных домах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>22</w:t>
      </w:r>
      <w:r>
        <w:rPr>
          <w:rFonts w:ascii="Times New Roman" w:hAnsi="Times New Roman"/>
          <w:b w:val="1"/>
          <w:sz w:val="28"/>
        </w:rPr>
        <w:t>,9</w:t>
      </w:r>
      <w:r>
        <w:rPr>
          <w:rFonts w:ascii="Times New Roman" w:hAnsi="Times New Roman"/>
          <w:sz w:val="28"/>
        </w:rPr>
        <w:t xml:space="preserve"> кВт/ч на 1 п</w:t>
      </w:r>
      <w:r>
        <w:rPr>
          <w:rFonts w:ascii="Times New Roman" w:hAnsi="Times New Roman"/>
          <w:sz w:val="28"/>
        </w:rPr>
        <w:t xml:space="preserve">роживающего. По сравнению с 2021 </w:t>
      </w:r>
      <w:r>
        <w:rPr>
          <w:rFonts w:ascii="Times New Roman" w:hAnsi="Times New Roman"/>
          <w:sz w:val="28"/>
        </w:rPr>
        <w:t>годом (</w:t>
      </w:r>
      <w:r>
        <w:rPr>
          <w:rFonts w:ascii="Times New Roman" w:hAnsi="Times New Roman"/>
          <w:sz w:val="28"/>
        </w:rPr>
        <w:t>670,9</w:t>
      </w:r>
      <w:r>
        <w:rPr>
          <w:rFonts w:ascii="Times New Roman" w:hAnsi="Times New Roman"/>
          <w:sz w:val="28"/>
        </w:rPr>
        <w:t xml:space="preserve"> кВт/ч на 1 проживающего) прослеживается </w:t>
      </w:r>
      <w:r>
        <w:rPr>
          <w:rFonts w:ascii="Times New Roman" w:hAnsi="Times New Roman"/>
          <w:sz w:val="28"/>
        </w:rPr>
        <w:t>уменьшение</w:t>
      </w:r>
      <w:r>
        <w:rPr>
          <w:rFonts w:ascii="Times New Roman" w:hAnsi="Times New Roman"/>
          <w:sz w:val="28"/>
        </w:rPr>
        <w:t xml:space="preserve"> потребления электроэнергии. </w:t>
      </w:r>
      <w:r>
        <w:rPr>
          <w:rFonts w:ascii="Times New Roman" w:hAnsi="Times New Roman"/>
          <w:sz w:val="28"/>
        </w:rPr>
        <w:t xml:space="preserve">Расход </w:t>
      </w:r>
      <w:r>
        <w:rPr>
          <w:rFonts w:ascii="Times New Roman" w:hAnsi="Times New Roman"/>
          <w:sz w:val="28"/>
        </w:rPr>
        <w:t>электричества связан с рациональным использованием бытовых приборов населением города Донецка в многоквартирных домах.</w:t>
      </w:r>
    </w:p>
    <w:p w14:paraId="C8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 годы - </w:t>
      </w:r>
      <w:r>
        <w:rPr>
          <w:rFonts w:ascii="Times New Roman" w:hAnsi="Times New Roman"/>
          <w:sz w:val="28"/>
        </w:rPr>
        <w:t>622,9</w:t>
      </w:r>
      <w:r>
        <w:rPr>
          <w:rFonts w:ascii="Times New Roman" w:hAnsi="Times New Roman"/>
          <w:sz w:val="28"/>
        </w:rPr>
        <w:t xml:space="preserve"> кВт/ч на 1 проживающего.</w:t>
      </w:r>
    </w:p>
    <w:p w14:paraId="C9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</w:t>
      </w:r>
      <w:r>
        <w:rPr>
          <w:rFonts w:ascii="Times New Roman" w:hAnsi="Times New Roman"/>
          <w:sz w:val="28"/>
          <w:u w:val="single"/>
        </w:rPr>
        <w:t>потребления тепловой  энергии</w:t>
      </w:r>
      <w:r>
        <w:rPr>
          <w:rFonts w:ascii="Times New Roman" w:hAnsi="Times New Roman"/>
          <w:sz w:val="28"/>
        </w:rPr>
        <w:t xml:space="preserve"> в многоквартирных домах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 xml:space="preserve">0,09 </w:t>
      </w:r>
      <w:r>
        <w:rPr>
          <w:rFonts w:ascii="Times New Roman" w:hAnsi="Times New Roman"/>
          <w:sz w:val="28"/>
        </w:rPr>
        <w:t xml:space="preserve">Гкал на 1 кв. метр общей площади. По сравнению с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 xml:space="preserve">1 </w:t>
      </w:r>
      <w:r>
        <w:rPr>
          <w:rFonts w:ascii="Times New Roman" w:hAnsi="Times New Roman"/>
          <w:sz w:val="28"/>
        </w:rPr>
        <w:t xml:space="preserve">годом показатель тепловой энергии - </w:t>
      </w:r>
      <w:r>
        <w:rPr>
          <w:rFonts w:ascii="Times New Roman" w:hAnsi="Times New Roman"/>
          <w:b w:val="1"/>
          <w:sz w:val="28"/>
        </w:rPr>
        <w:t>0,0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sz w:val="28"/>
        </w:rPr>
        <w:t xml:space="preserve"> Гкал на 1 кв. метр общей площади, показател</w:t>
      </w:r>
      <w:r>
        <w:rPr>
          <w:rFonts w:ascii="Times New Roman" w:hAnsi="Times New Roman"/>
          <w:sz w:val="28"/>
        </w:rPr>
        <w:t>ь не изменился</w:t>
      </w:r>
      <w:r>
        <w:rPr>
          <w:rFonts w:ascii="Times New Roman" w:hAnsi="Times New Roman"/>
          <w:sz w:val="28"/>
        </w:rPr>
        <w:t xml:space="preserve">. </w:t>
      </w:r>
    </w:p>
    <w:p w14:paraId="CA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Расход тепловой энергии на отопление многоквартирных домов города Донецка зависел от  погодных условий в  </w:t>
      </w:r>
      <w:r>
        <w:rPr>
          <w:rFonts w:ascii="Times New Roman" w:hAnsi="Times New Roman"/>
          <w:sz w:val="28"/>
        </w:rPr>
        <w:t>осенне</w:t>
      </w:r>
      <w:r>
        <w:rPr>
          <w:rFonts w:ascii="Times New Roman" w:hAnsi="Times New Roman"/>
          <w:sz w:val="28"/>
        </w:rPr>
        <w:t xml:space="preserve"> - зимний период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- 202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годов, в результате норматив потребления энергопотребления</w:t>
      </w:r>
      <w:r>
        <w:rPr>
          <w:rFonts w:ascii="Times New Roman" w:hAnsi="Times New Roman"/>
          <w:sz w:val="28"/>
        </w:rPr>
        <w:t xml:space="preserve"> не изменился</w:t>
      </w:r>
      <w:r>
        <w:rPr>
          <w:rFonts w:ascii="Times New Roman" w:hAnsi="Times New Roman"/>
          <w:sz w:val="28"/>
        </w:rPr>
        <w:t>.</w:t>
      </w:r>
    </w:p>
    <w:p w14:paraId="CB000000">
      <w:pPr>
        <w:ind w:firstLine="425" w:left="0"/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– 0,09 Гкал на 1 кв. метр общей площади.</w:t>
      </w:r>
    </w:p>
    <w:p w14:paraId="CC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горячей воды</w:t>
      </w:r>
      <w:r>
        <w:rPr>
          <w:rFonts w:ascii="Times New Roman" w:hAnsi="Times New Roman"/>
          <w:sz w:val="28"/>
        </w:rPr>
        <w:t xml:space="preserve"> в многоквартирных домах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>12,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куб. метров на 1 проживающего. По сравнению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(</w:t>
      </w:r>
      <w:r>
        <w:rPr>
          <w:rFonts w:ascii="Times New Roman" w:hAnsi="Times New Roman"/>
          <w:sz w:val="28"/>
        </w:rPr>
        <w:t>12,4</w:t>
      </w:r>
      <w:r>
        <w:rPr>
          <w:rFonts w:ascii="Times New Roman" w:hAnsi="Times New Roman"/>
          <w:sz w:val="28"/>
        </w:rPr>
        <w:t xml:space="preserve"> куб. метров на 1 проживающего) прослеживается </w:t>
      </w:r>
      <w:r>
        <w:rPr>
          <w:rFonts w:ascii="Times New Roman" w:hAnsi="Times New Roman"/>
          <w:sz w:val="28"/>
          <w:u w:val="single"/>
        </w:rPr>
        <w:t xml:space="preserve">уменьшение </w:t>
      </w:r>
      <w:r>
        <w:rPr>
          <w:rFonts w:ascii="Times New Roman" w:hAnsi="Times New Roman"/>
          <w:sz w:val="28"/>
        </w:rPr>
        <w:t>показателя. Это обусловлено уменьшением объемов потребления горячей воды населением города Донецка.</w:t>
      </w:r>
    </w:p>
    <w:p w14:paraId="CD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- 12,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куб. метров на 1 проживающего.</w:t>
      </w:r>
    </w:p>
    <w:p w14:paraId="CE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холодной воды</w:t>
      </w:r>
      <w:r>
        <w:rPr>
          <w:rFonts w:ascii="Times New Roman" w:hAnsi="Times New Roman"/>
          <w:sz w:val="28"/>
        </w:rPr>
        <w:t xml:space="preserve"> в многоквартирных домах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 xml:space="preserve"> 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,</w:t>
      </w:r>
      <w:r>
        <w:rPr>
          <w:rFonts w:ascii="Times New Roman" w:hAnsi="Times New Roman"/>
          <w:b w:val="1"/>
          <w:sz w:val="28"/>
        </w:rPr>
        <w:t xml:space="preserve">6 </w:t>
      </w:r>
      <w:r>
        <w:rPr>
          <w:rFonts w:ascii="Times New Roman" w:hAnsi="Times New Roman"/>
          <w:sz w:val="28"/>
        </w:rPr>
        <w:t>куб. метров на 1 проживающего.  По сравнению с 202</w:t>
      </w:r>
      <w:r>
        <w:rPr>
          <w:rFonts w:ascii="Times New Roman" w:hAnsi="Times New Roman"/>
          <w:sz w:val="28"/>
        </w:rPr>
        <w:t>1 годом (26,9</w:t>
      </w:r>
      <w:r>
        <w:rPr>
          <w:rFonts w:ascii="Times New Roman" w:hAnsi="Times New Roman"/>
          <w:sz w:val="28"/>
        </w:rPr>
        <w:t>куб. метров на 1 проживающего) прослеживается у</w:t>
      </w:r>
      <w:r>
        <w:rPr>
          <w:rFonts w:ascii="Times New Roman" w:hAnsi="Times New Roman"/>
          <w:sz w:val="28"/>
        </w:rPr>
        <w:t>меньшение</w:t>
      </w:r>
      <w:r>
        <w:rPr>
          <w:rFonts w:ascii="Times New Roman" w:hAnsi="Times New Roman"/>
          <w:sz w:val="28"/>
        </w:rPr>
        <w:t xml:space="preserve"> потребления холодной воды. </w:t>
      </w:r>
    </w:p>
    <w:p w14:paraId="CF000000">
      <w:pPr>
        <w:ind w:firstLine="425" w:left="0"/>
        <w:jc w:val="both"/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меньшение обусловлено применением современных пластиковых труб и арматуры для системы </w:t>
      </w:r>
      <w:r>
        <w:rPr>
          <w:rFonts w:ascii="Times New Roman" w:hAnsi="Times New Roman"/>
          <w:sz w:val="28"/>
        </w:rPr>
        <w:t xml:space="preserve">водоснабжения, внедрением концепции проведения мероприятий по водоснабжению и рациональному водопользованию в </w:t>
      </w:r>
      <w:r>
        <w:rPr>
          <w:rFonts w:ascii="Times New Roman" w:hAnsi="Times New Roman"/>
          <w:sz w:val="28"/>
        </w:rPr>
        <w:t>многоквартирном</w:t>
      </w:r>
      <w:r>
        <w:rPr>
          <w:rFonts w:ascii="Times New Roman" w:hAnsi="Times New Roman"/>
          <w:sz w:val="28"/>
        </w:rPr>
        <w:t xml:space="preserve"> секторе города Донецка.</w:t>
      </w:r>
      <w:r>
        <w:rPr>
          <w:rFonts w:ascii="Times New Roman" w:hAnsi="Times New Roman"/>
          <w:sz w:val="28"/>
        </w:rPr>
        <w:t xml:space="preserve"> Прогнозное значение показателя на     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- 2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куб. метров на 1 проживающего. </w:t>
      </w:r>
    </w:p>
    <w:p w14:paraId="D0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природного газа</w:t>
      </w:r>
      <w:r>
        <w:rPr>
          <w:rFonts w:ascii="Times New Roman" w:hAnsi="Times New Roman"/>
          <w:sz w:val="28"/>
        </w:rPr>
        <w:t xml:space="preserve"> в многоквартирных домах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году составила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317,2</w:t>
      </w:r>
      <w:r>
        <w:rPr>
          <w:rFonts w:ascii="Times New Roman" w:hAnsi="Times New Roman"/>
          <w:sz w:val="28"/>
        </w:rPr>
        <w:t xml:space="preserve"> куб. метров на 1 проживающего.</w:t>
      </w:r>
    </w:p>
    <w:p w14:paraId="D1000000">
      <w:pPr>
        <w:ind w:firstLine="425" w:left="0"/>
        <w:jc w:val="both"/>
      </w:pPr>
      <w:r>
        <w:rPr>
          <w:rFonts w:ascii="Times New Roman" w:hAnsi="Times New Roman"/>
          <w:sz w:val="28"/>
        </w:rPr>
        <w:t>По 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(</w:t>
      </w:r>
      <w:r>
        <w:rPr>
          <w:rFonts w:ascii="Times New Roman" w:hAnsi="Times New Roman"/>
          <w:sz w:val="28"/>
        </w:rPr>
        <w:t>299,6</w:t>
      </w:r>
      <w:r>
        <w:rPr>
          <w:rFonts w:ascii="Times New Roman" w:hAnsi="Times New Roman"/>
          <w:sz w:val="28"/>
        </w:rPr>
        <w:t>куб. метров на 1 проживающего) прослеживается увеличение  потребления природного газа населением, проживающего в многоквартирных домах города Донецка.</w:t>
      </w:r>
    </w:p>
    <w:p w14:paraId="D2000000">
      <w:pPr>
        <w:ind w:firstLine="425" w:left="0"/>
        <w:jc w:val="both"/>
      </w:pPr>
      <w:r>
        <w:rPr>
          <w:rFonts w:ascii="Times New Roman" w:hAnsi="Times New Roman"/>
          <w:sz w:val="28"/>
        </w:rPr>
        <w:t>Перерасход потребления природного газа связан с нерациональным использование газового оборудования население города Донецка в многоквартирных жомах.</w:t>
      </w:r>
    </w:p>
    <w:p w14:paraId="D3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-202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- </w:t>
      </w:r>
      <w:r>
        <w:rPr>
          <w:rFonts w:ascii="Times New Roman" w:hAnsi="Times New Roman"/>
          <w:sz w:val="28"/>
        </w:rPr>
        <w:t>317,2</w:t>
      </w:r>
      <w:r>
        <w:rPr>
          <w:rFonts w:ascii="Times New Roman" w:hAnsi="Times New Roman"/>
          <w:sz w:val="28"/>
        </w:rPr>
        <w:t xml:space="preserve"> куб. метров на 1 проживающего.</w:t>
      </w:r>
    </w:p>
    <w:p w14:paraId="D4000000">
      <w:pPr>
        <w:ind w:firstLine="425" w:left="0"/>
        <w:jc w:val="both"/>
      </w:pPr>
    </w:p>
    <w:p w14:paraId="D5000000">
      <w:pPr>
        <w:ind w:firstLine="425" w:left="0"/>
        <w:jc w:val="both"/>
      </w:pPr>
      <w:r>
        <w:rPr>
          <w:rFonts w:ascii="Times New Roman" w:hAnsi="Times New Roman"/>
          <w:b w:val="1"/>
          <w:sz w:val="28"/>
        </w:rPr>
        <w:t>Показатель 40. Удельная величина потребления энергетических ресурсов муниципальными бюджетными учреждениями.</w:t>
      </w:r>
    </w:p>
    <w:p w14:paraId="D6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электрической энергии</w:t>
      </w:r>
      <w:r>
        <w:rPr>
          <w:rFonts w:ascii="Times New Roman" w:hAnsi="Times New Roman"/>
          <w:sz w:val="28"/>
        </w:rPr>
        <w:t xml:space="preserve"> в муниципальных бюджетных учреждения города Донецка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увеличилась  по сравнению с показателем за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93,8</w:t>
      </w:r>
      <w:r>
        <w:rPr>
          <w:rFonts w:ascii="Times New Roman" w:hAnsi="Times New Roman"/>
          <w:sz w:val="28"/>
        </w:rPr>
        <w:t xml:space="preserve">  кВт/ч на 1 человека населения  и составила </w:t>
      </w:r>
      <w:r>
        <w:rPr>
          <w:rFonts w:ascii="Times New Roman" w:hAnsi="Times New Roman"/>
          <w:b w:val="1"/>
          <w:sz w:val="28"/>
        </w:rPr>
        <w:t>9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>,8</w:t>
      </w:r>
      <w:r>
        <w:rPr>
          <w:rFonts w:ascii="Times New Roman" w:hAnsi="Times New Roman"/>
          <w:sz w:val="28"/>
        </w:rPr>
        <w:t xml:space="preserve"> кВт/ч на 1 человека населения. </w:t>
      </w:r>
    </w:p>
    <w:p w14:paraId="D7000000">
      <w:pPr>
        <w:ind w:firstLine="425" w:left="0"/>
        <w:jc w:val="both"/>
      </w:pPr>
      <w:r>
        <w:rPr>
          <w:rFonts w:ascii="Times New Roman" w:hAnsi="Times New Roman"/>
          <w:sz w:val="28"/>
        </w:rPr>
        <w:t>Увеличение показателя связано с нерациональным потреблением электрической энергии бюджетными учреждениями муниципального образования  «Город Донецк.</w:t>
      </w:r>
    </w:p>
    <w:p w14:paraId="D8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- </w:t>
      </w:r>
      <w:r>
        <w:rPr>
          <w:rFonts w:ascii="Times New Roman" w:hAnsi="Times New Roman"/>
          <w:sz w:val="28"/>
        </w:rPr>
        <w:t>95,8</w:t>
      </w:r>
      <w:r>
        <w:rPr>
          <w:rFonts w:ascii="Times New Roman" w:hAnsi="Times New Roman"/>
          <w:sz w:val="28"/>
        </w:rPr>
        <w:t xml:space="preserve">  кВт/ч на 1 человека населения.</w:t>
      </w:r>
    </w:p>
    <w:p w14:paraId="D9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тепловой энергии</w:t>
      </w:r>
      <w:r>
        <w:rPr>
          <w:rFonts w:ascii="Times New Roman" w:hAnsi="Times New Roman"/>
          <w:sz w:val="28"/>
        </w:rPr>
        <w:t xml:space="preserve"> муниципальными бюджетными учреждениями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</w:t>
      </w:r>
      <w:r>
        <w:rPr>
          <w:rFonts w:ascii="Times New Roman" w:hAnsi="Times New Roman"/>
          <w:b w:val="1"/>
          <w:sz w:val="28"/>
        </w:rPr>
        <w:t>0,0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sz w:val="28"/>
        </w:rPr>
        <w:t xml:space="preserve"> Гкал на 1 кв. метр общей площади. По сравнению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(0,0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Гкал на 1 кв. метр общей площади) обозначенный показатель у</w:t>
      </w:r>
      <w:r>
        <w:rPr>
          <w:rFonts w:ascii="Times New Roman" w:hAnsi="Times New Roman"/>
          <w:sz w:val="28"/>
        </w:rPr>
        <w:t>меньшился</w:t>
      </w:r>
      <w:r>
        <w:rPr>
          <w:rFonts w:ascii="Times New Roman" w:hAnsi="Times New Roman"/>
          <w:sz w:val="28"/>
        </w:rPr>
        <w:t>.</w:t>
      </w:r>
    </w:p>
    <w:p w14:paraId="DA000000">
      <w:pPr>
        <w:ind w:firstLine="425" w:left="0"/>
        <w:jc w:val="both"/>
      </w:pP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меньшение</w:t>
      </w:r>
      <w:r>
        <w:rPr>
          <w:rFonts w:ascii="Times New Roman" w:hAnsi="Times New Roman"/>
          <w:sz w:val="28"/>
        </w:rPr>
        <w:t xml:space="preserve"> показателя зависело от у</w:t>
      </w:r>
      <w:r>
        <w:rPr>
          <w:rFonts w:ascii="Times New Roman" w:hAnsi="Times New Roman"/>
          <w:sz w:val="28"/>
        </w:rPr>
        <w:t>меньшения</w:t>
      </w:r>
      <w:r>
        <w:rPr>
          <w:rFonts w:ascii="Times New Roman" w:hAnsi="Times New Roman"/>
          <w:sz w:val="28"/>
        </w:rPr>
        <w:t xml:space="preserve">  потребления объема тепловой энергии БУ города Донецка.</w:t>
      </w:r>
    </w:p>
    <w:p w14:paraId="DB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 годы –</w:t>
      </w:r>
      <w:r>
        <w:rPr>
          <w:rFonts w:ascii="Times New Roman" w:hAnsi="Times New Roman"/>
          <w:b w:val="1"/>
          <w:sz w:val="28"/>
        </w:rPr>
        <w:t xml:space="preserve"> 0,0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Гкал на 1 кв. метр общей площади.</w:t>
      </w:r>
    </w:p>
    <w:p w14:paraId="DC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горячей воды</w:t>
      </w:r>
      <w:r>
        <w:rPr>
          <w:rFonts w:ascii="Times New Roman" w:hAnsi="Times New Roman"/>
          <w:sz w:val="28"/>
        </w:rPr>
        <w:t xml:space="preserve"> муниципальными бюджетными учреждениями города Донецка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0,03 куб. метров на 1 человека населения, показатель  </w:t>
      </w:r>
      <w:r>
        <w:rPr>
          <w:rFonts w:ascii="Times New Roman" w:hAnsi="Times New Roman"/>
          <w:sz w:val="28"/>
        </w:rPr>
        <w:t>не изменился</w:t>
      </w:r>
      <w:r>
        <w:rPr>
          <w:rFonts w:ascii="Times New Roman" w:hAnsi="Times New Roman"/>
          <w:sz w:val="28"/>
        </w:rPr>
        <w:t xml:space="preserve"> по сравнению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(0,0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куб. метров на 1 человека населения).</w:t>
      </w:r>
    </w:p>
    <w:p w14:paraId="DD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–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- 0,03 куб. метров на 1 человека населения.</w:t>
      </w:r>
    </w:p>
    <w:p w14:paraId="DE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</w:t>
      </w:r>
      <w:r>
        <w:rPr>
          <w:rFonts w:ascii="Times New Roman" w:hAnsi="Times New Roman"/>
          <w:sz w:val="28"/>
          <w:u w:val="single"/>
        </w:rPr>
        <w:t>потребления холодной воды</w:t>
      </w:r>
      <w:r>
        <w:rPr>
          <w:rFonts w:ascii="Times New Roman" w:hAnsi="Times New Roman"/>
          <w:sz w:val="28"/>
        </w:rPr>
        <w:t xml:space="preserve"> муниципальными бюджетными учреждениями города Донецка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составила 0,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куб. метров на 1 человека населения.</w:t>
      </w:r>
    </w:p>
    <w:p w14:paraId="DF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Значение показателя </w:t>
      </w:r>
      <w:r>
        <w:rPr>
          <w:rFonts w:ascii="Times New Roman" w:hAnsi="Times New Roman"/>
          <w:sz w:val="28"/>
        </w:rPr>
        <w:t xml:space="preserve">уменьшилось </w:t>
      </w:r>
      <w:r>
        <w:rPr>
          <w:rFonts w:ascii="Times New Roman" w:hAnsi="Times New Roman"/>
          <w:sz w:val="28"/>
        </w:rPr>
        <w:t xml:space="preserve"> по сравнению с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годом (0,9 куб. метр на 1 человека населения) обусловлено  рациональным потребления объема холодной воды муниципальными бюджетными учреждениями города Донецка. </w:t>
      </w:r>
    </w:p>
    <w:p w14:paraId="E0000000">
      <w:pPr>
        <w:ind w:firstLine="425" w:left="0"/>
        <w:jc w:val="both"/>
      </w:pPr>
      <w:r>
        <w:rPr>
          <w:rFonts w:ascii="Times New Roman" w:hAnsi="Times New Roman"/>
          <w:sz w:val="28"/>
        </w:rPr>
        <w:t>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– 0,</w:t>
      </w:r>
      <w:r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 куб. метров на 1 человека населения.</w:t>
      </w:r>
    </w:p>
    <w:p w14:paraId="E1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Удельная величина потребления </w:t>
      </w:r>
      <w:r>
        <w:rPr>
          <w:rFonts w:ascii="Times New Roman" w:hAnsi="Times New Roman"/>
          <w:sz w:val="28"/>
          <w:u w:val="single"/>
        </w:rPr>
        <w:t>природного газа</w:t>
      </w:r>
      <w:r>
        <w:rPr>
          <w:rFonts w:ascii="Times New Roman" w:hAnsi="Times New Roman"/>
          <w:sz w:val="28"/>
        </w:rPr>
        <w:t xml:space="preserve"> муниципальными бюджетными учреждениями города Донецка в 202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году </w:t>
      </w:r>
      <w:r>
        <w:rPr>
          <w:rFonts w:ascii="Times New Roman" w:hAnsi="Times New Roman"/>
          <w:sz w:val="28"/>
        </w:rPr>
        <w:t>не изменилась</w:t>
      </w:r>
      <w:r>
        <w:rPr>
          <w:rFonts w:ascii="Times New Roman" w:hAnsi="Times New Roman"/>
          <w:sz w:val="28"/>
        </w:rPr>
        <w:t xml:space="preserve"> по сравнению с показателем за 202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года  (2,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куб. метров на 1 человека населения) и составила 2,5 куб. метров на 1 человека населения. Прогнозное значение показателя на 202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- 202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годы – 2,5 куб. метров на 1 человека населения.</w:t>
      </w:r>
    </w:p>
    <w:p w14:paraId="E2000000">
      <w:pPr>
        <w:ind w:firstLine="567" w:left="0"/>
        <w:jc w:val="both"/>
      </w:pPr>
      <w:r>
        <w:rPr>
          <w:rFonts w:ascii="Times New Roman" w:hAnsi="Times New Roman"/>
          <w:b w:val="1"/>
          <w:sz w:val="28"/>
        </w:rPr>
        <w:t xml:space="preserve">Показатель 41. Результаты независимой </w:t>
      </w:r>
      <w:r>
        <w:rPr>
          <w:rFonts w:ascii="Times New Roman" w:hAnsi="Times New Roman"/>
          <w:b w:val="1"/>
          <w:sz w:val="28"/>
        </w:rPr>
        <w:t>оценки качества условий оказания услуг</w:t>
      </w:r>
      <w:r>
        <w:rPr>
          <w:rFonts w:ascii="Times New Roman" w:hAnsi="Times New Roman"/>
          <w:b w:val="1"/>
          <w:sz w:val="28"/>
        </w:rPr>
        <w:t xml:space="preserve"> муниципальными организациями в сфере образования.</w:t>
      </w:r>
    </w:p>
    <w:p w14:paraId="E3000000">
      <w:pPr>
        <w:ind w:firstLine="425" w:left="0"/>
        <w:jc w:val="both"/>
      </w:pPr>
      <w:r>
        <w:rPr>
          <w:rFonts w:ascii="Times New Roman" w:hAnsi="Times New Roman"/>
          <w:sz w:val="28"/>
        </w:rPr>
        <w:t>В соотве</w:t>
      </w:r>
      <w:r>
        <w:rPr>
          <w:rFonts w:ascii="Times New Roman" w:hAnsi="Times New Roman"/>
          <w:sz w:val="28"/>
        </w:rPr>
        <w:t>тствии со статьей 95.2 Федерального закона от 29 декабря 2012 г. №273-ФЗ «Об образовании в Российской Федерации» и   Федерального закона от 05.12.2017 № 392-ФЗ «О внесении изменений в отдельные законодательные акты Российской Федерации по вопросам совершен</w:t>
      </w:r>
      <w:r>
        <w:rPr>
          <w:rFonts w:ascii="Times New Roman" w:hAnsi="Times New Roman"/>
          <w:sz w:val="28"/>
        </w:rPr>
        <w:t>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независимая оценка качества</w:t>
      </w:r>
      <w:r>
        <w:rPr>
          <w:rFonts w:ascii="Times New Roman" w:hAnsi="Times New Roman"/>
          <w:sz w:val="28"/>
        </w:rPr>
        <w:t xml:space="preserve"> условий осу</w:t>
      </w:r>
      <w:r>
        <w:rPr>
          <w:rFonts w:ascii="Times New Roman" w:hAnsi="Times New Roman"/>
          <w:sz w:val="28"/>
        </w:rPr>
        <w:t>ществления образовательной деятельности организациями проводится не чаще чем один раз в год и не реже чем один раз в три года в отношении одной и той же организации. В  МУ отделе образования 30 подведомственных образовательных организаций. Ежегодно независ</w:t>
      </w:r>
      <w:r>
        <w:rPr>
          <w:rFonts w:ascii="Times New Roman" w:hAnsi="Times New Roman"/>
          <w:sz w:val="28"/>
        </w:rPr>
        <w:t>имая оценка качества условий осуществления образовательной деятельности проводиться в отношении 10 образовательных организаций, что позволяет обеспечить 100 % охват данной процедурой всех образовательных организаций в соответствии с предъявляемыми требован</w:t>
      </w:r>
      <w:r>
        <w:rPr>
          <w:rFonts w:ascii="Times New Roman" w:hAnsi="Times New Roman"/>
          <w:sz w:val="28"/>
        </w:rPr>
        <w:t xml:space="preserve">иями (1 раз в 3 года). </w:t>
      </w:r>
    </w:p>
    <w:p w14:paraId="E4000000">
      <w:pPr>
        <w:ind w:firstLine="567" w:left="0"/>
        <w:jc w:val="both"/>
      </w:pPr>
      <w:r>
        <w:rPr>
          <w:rFonts w:ascii="Times New Roman" w:hAnsi="Times New Roman"/>
          <w:sz w:val="28"/>
        </w:rPr>
        <w:t>Показатель 2022 г.- охват НОКУ 100 %. Прогнозное значение показателя на 2023 - 2025 годы – 100%.</w:t>
      </w:r>
    </w:p>
    <w:p w14:paraId="E5000000">
      <w:pPr>
        <w:ind w:firstLine="709" w:left="0"/>
        <w:jc w:val="both"/>
        <w:rPr>
          <w:rFonts w:ascii="Times New Roman" w:hAnsi="Times New Roman"/>
          <w:sz w:val="28"/>
        </w:rPr>
      </w:pPr>
    </w:p>
    <w:p w14:paraId="E6000000">
      <w:pPr>
        <w:ind w:firstLine="709" w:left="0"/>
        <w:jc w:val="both"/>
      </w:pPr>
    </w:p>
    <w:p w14:paraId="E7000000">
      <w:pPr>
        <w:ind w:firstLine="709" w:left="0"/>
        <w:jc w:val="both"/>
      </w:pPr>
    </w:p>
    <w:p w14:paraId="E8000000">
      <w:pPr>
        <w:ind w:firstLine="709" w:left="0"/>
        <w:jc w:val="both"/>
      </w:pPr>
    </w:p>
    <w:p w14:paraId="E9000000">
      <w:pPr>
        <w:ind/>
        <w:jc w:val="both"/>
        <w:rPr>
          <w:rFonts w:ascii="Times New Roman" w:hAnsi="Times New Roman"/>
          <w:sz w:val="28"/>
        </w:rPr>
      </w:pPr>
    </w:p>
    <w:p w14:paraId="EA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Первый заместитель </w:t>
      </w:r>
      <w:r>
        <w:rPr>
          <w:rFonts w:ascii="Times New Roman" w:hAnsi="Times New Roman"/>
          <w:sz w:val="28"/>
        </w:rPr>
        <w:t xml:space="preserve">главы </w:t>
      </w:r>
    </w:p>
    <w:p w14:paraId="EB000000">
      <w:pPr>
        <w:ind w:firstLine="425" w:left="0"/>
        <w:jc w:val="both"/>
      </w:pPr>
      <w:r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 xml:space="preserve">города Донецка     </w:t>
      </w:r>
      <w:r>
        <w:rPr>
          <w:rFonts w:ascii="Times New Roman" w:hAnsi="Times New Roman"/>
          <w:sz w:val="28"/>
        </w:rPr>
        <w:t xml:space="preserve">                                       О.В. Забабурина</w:t>
      </w:r>
    </w:p>
    <w:sectPr>
      <w:pgSz w:h="16838" w:orient="portrait" w:w="11906"/>
      <w:pgMar w:bottom="567" w:footer="708" w:gutter="0" w:header="708" w:left="851" w:right="566" w:top="56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Calibri" w:hAnsi="Calibri"/>
      <w:sz w:val="22"/>
    </w:rPr>
  </w:style>
  <w:style w:default="1" w:styleId="Style_3_ch" w:type="character">
    <w:name w:val="Normal"/>
    <w:link w:val="Style_3"/>
    <w:rPr>
      <w:rFonts w:ascii="Calibri" w:hAnsi="Calibri"/>
      <w:sz w:val="22"/>
    </w:rPr>
  </w:style>
  <w:style w:styleId="Style_4" w:type="paragraph">
    <w:name w:val="ListLabel 116"/>
    <w:link w:val="Style_4_ch"/>
  </w:style>
  <w:style w:styleId="Style_4_ch" w:type="character">
    <w:name w:val="ListLabel 116"/>
    <w:link w:val="Style_4"/>
  </w:style>
  <w:style w:styleId="Style_5" w:type="paragraph">
    <w:name w:val="ListLabel 54"/>
    <w:link w:val="Style_5_ch"/>
    <w:rPr>
      <w:color w:val="00000A"/>
      <w:sz w:val="28"/>
    </w:rPr>
  </w:style>
  <w:style w:styleId="Style_5_ch" w:type="character">
    <w:name w:val="ListLabel 54"/>
    <w:link w:val="Style_5"/>
    <w:rPr>
      <w:color w:val="00000A"/>
      <w:sz w:val="28"/>
    </w:rPr>
  </w:style>
  <w:style w:styleId="Style_6" w:type="paragraph">
    <w:name w:val="WW8Num1z2"/>
    <w:link w:val="Style_6_ch"/>
    <w:rPr>
      <w:rFonts w:ascii="Wingdings" w:hAnsi="Wingdings"/>
    </w:rPr>
  </w:style>
  <w:style w:styleId="Style_6_ch" w:type="character">
    <w:name w:val="WW8Num1z2"/>
    <w:link w:val="Style_6"/>
    <w:rPr>
      <w:rFonts w:ascii="Wingdings" w:hAnsi="Wingdings"/>
    </w:rPr>
  </w:style>
  <w:style w:styleId="Style_7" w:type="paragraph">
    <w:name w:val="ListLabel 27"/>
    <w:link w:val="Style_7_ch"/>
  </w:style>
  <w:style w:styleId="Style_7_ch" w:type="character">
    <w:name w:val="ListLabel 27"/>
    <w:link w:val="Style_7"/>
  </w:style>
  <w:style w:styleId="Style_8" w:type="paragraph">
    <w:name w:val="toc 2"/>
    <w:next w:val="Style_3"/>
    <w:link w:val="Style_8_ch"/>
    <w:uiPriority w:val="39"/>
    <w:pPr>
      <w:ind w:firstLine="0" w:left="200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WW8Num2z4"/>
    <w:link w:val="Style_9_ch"/>
  </w:style>
  <w:style w:styleId="Style_9_ch" w:type="character">
    <w:name w:val="WW8Num2z4"/>
    <w:link w:val="Style_9"/>
  </w:style>
  <w:style w:styleId="Style_10" w:type="paragraph">
    <w:name w:val="ListLabel 98"/>
    <w:link w:val="Style_10_ch"/>
  </w:style>
  <w:style w:styleId="Style_10_ch" w:type="character">
    <w:name w:val="ListLabel 98"/>
    <w:link w:val="Style_10"/>
  </w:style>
  <w:style w:styleId="Style_11" w:type="paragraph">
    <w:name w:val="ListLabel 74"/>
    <w:link w:val="Style_11_ch"/>
    <w:rPr>
      <w:color w:val="00000A"/>
      <w:sz w:val="28"/>
    </w:rPr>
  </w:style>
  <w:style w:styleId="Style_11_ch" w:type="character">
    <w:name w:val="ListLabel 74"/>
    <w:link w:val="Style_11"/>
    <w:rPr>
      <w:color w:val="00000A"/>
      <w:sz w:val="28"/>
    </w:rPr>
  </w:style>
  <w:style w:styleId="Style_12" w:type="paragraph">
    <w:name w:val="ListLabel 48"/>
    <w:link w:val="Style_12_ch"/>
  </w:style>
  <w:style w:styleId="Style_12_ch" w:type="character">
    <w:name w:val="ListLabel 48"/>
    <w:link w:val="Style_12"/>
  </w:style>
  <w:style w:styleId="Style_13" w:type="paragraph">
    <w:name w:val="ListLabel 104"/>
    <w:link w:val="Style_13_ch"/>
  </w:style>
  <w:style w:styleId="Style_13_ch" w:type="character">
    <w:name w:val="ListLabel 104"/>
    <w:link w:val="Style_13"/>
  </w:style>
  <w:style w:styleId="Style_14" w:type="paragraph">
    <w:name w:val="ListLabel 8"/>
    <w:link w:val="Style_14_ch"/>
  </w:style>
  <w:style w:styleId="Style_14_ch" w:type="character">
    <w:name w:val="ListLabel 8"/>
    <w:link w:val="Style_14"/>
  </w:style>
  <w:style w:styleId="Style_15" w:type="paragraph">
    <w:name w:val="WW8Num2z7"/>
    <w:link w:val="Style_15_ch"/>
  </w:style>
  <w:style w:styleId="Style_15_ch" w:type="character">
    <w:name w:val="WW8Num2z7"/>
    <w:link w:val="Style_15"/>
  </w:style>
  <w:style w:styleId="Style_16" w:type="paragraph">
    <w:name w:val="WW8Num2z3"/>
    <w:link w:val="Style_16_ch"/>
  </w:style>
  <w:style w:styleId="Style_16_ch" w:type="character">
    <w:name w:val="WW8Num2z3"/>
    <w:link w:val="Style_16"/>
  </w:style>
  <w:style w:styleId="Style_17" w:type="paragraph">
    <w:name w:val="ListLabel 119"/>
    <w:link w:val="Style_17_ch"/>
    <w:rPr>
      <w:color w:val="00000A"/>
      <w:sz w:val="28"/>
    </w:rPr>
  </w:style>
  <w:style w:styleId="Style_17_ch" w:type="character">
    <w:name w:val="ListLabel 119"/>
    <w:link w:val="Style_17"/>
    <w:rPr>
      <w:color w:val="00000A"/>
      <w:sz w:val="28"/>
    </w:rPr>
  </w:style>
  <w:style w:styleId="Style_18" w:type="paragraph">
    <w:name w:val="toc 4"/>
    <w:next w:val="Style_3"/>
    <w:link w:val="Style_18_ch"/>
    <w:uiPriority w:val="39"/>
    <w:pPr>
      <w:ind w:firstLine="0" w:left="600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ListLabel 5"/>
    <w:link w:val="Style_19_ch"/>
  </w:style>
  <w:style w:styleId="Style_19_ch" w:type="character">
    <w:name w:val="ListLabel 5"/>
    <w:link w:val="Style_19"/>
  </w:style>
  <w:style w:styleId="Style_20" w:type="paragraph">
    <w:name w:val="ListLabel 34"/>
    <w:link w:val="Style_20_ch"/>
  </w:style>
  <w:style w:styleId="Style_20_ch" w:type="character">
    <w:name w:val="ListLabel 34"/>
    <w:link w:val="Style_20"/>
  </w:style>
  <w:style w:styleId="Style_21" w:type="paragraph">
    <w:name w:val="ListLabel 62"/>
    <w:link w:val="Style_21_ch"/>
  </w:style>
  <w:style w:styleId="Style_21_ch" w:type="character">
    <w:name w:val="ListLabel 62"/>
    <w:link w:val="Style_21"/>
  </w:style>
  <w:style w:styleId="Style_22" w:type="paragraph">
    <w:name w:val="ListLabel 42"/>
    <w:link w:val="Style_22_ch"/>
  </w:style>
  <w:style w:styleId="Style_22_ch" w:type="character">
    <w:name w:val="ListLabel 42"/>
    <w:link w:val="Style_22"/>
  </w:style>
  <w:style w:styleId="Style_23" w:type="paragraph">
    <w:name w:val="Body Text Indent 2"/>
    <w:basedOn w:val="Style_2"/>
    <w:link w:val="Style_23_ch"/>
    <w:pPr>
      <w:spacing w:after="120" w:line="480" w:lineRule="auto"/>
      <w:ind w:firstLine="0" w:left="283"/>
    </w:pPr>
  </w:style>
  <w:style w:styleId="Style_23_ch" w:type="character">
    <w:name w:val="Body Text Indent 2"/>
    <w:basedOn w:val="Style_2_ch"/>
    <w:link w:val="Style_23"/>
  </w:style>
  <w:style w:styleId="Style_24" w:type="paragraph">
    <w:name w:val="toc 6"/>
    <w:next w:val="Style_3"/>
    <w:link w:val="Style_24_ch"/>
    <w:uiPriority w:val="39"/>
    <w:pPr>
      <w:ind w:firstLine="0" w:left="1000"/>
    </w:pPr>
    <w:rPr>
      <w:rFonts w:ascii="XO Thames" w:hAnsi="XO Thames"/>
      <w:sz w:val="28"/>
    </w:rPr>
  </w:style>
  <w:style w:styleId="Style_24_ch" w:type="character">
    <w:name w:val="toc 6"/>
    <w:link w:val="Style_24"/>
    <w:rPr>
      <w:rFonts w:ascii="XO Thames" w:hAnsi="XO Thames"/>
      <w:sz w:val="28"/>
    </w:rPr>
  </w:style>
  <w:style w:styleId="Style_25" w:type="paragraph">
    <w:name w:val="ListLabel 40"/>
    <w:link w:val="Style_25_ch"/>
  </w:style>
  <w:style w:styleId="Style_25_ch" w:type="character">
    <w:name w:val="ListLabel 40"/>
    <w:link w:val="Style_25"/>
  </w:style>
  <w:style w:styleId="Style_26" w:type="paragraph">
    <w:name w:val="ListLabel 56"/>
    <w:link w:val="Style_26_ch"/>
  </w:style>
  <w:style w:styleId="Style_26_ch" w:type="character">
    <w:name w:val="ListLabel 56"/>
    <w:link w:val="Style_26"/>
  </w:style>
  <w:style w:styleId="Style_27" w:type="paragraph">
    <w:name w:val="toc 7"/>
    <w:next w:val="Style_3"/>
    <w:link w:val="Style_27_ch"/>
    <w:uiPriority w:val="39"/>
    <w:pPr>
      <w:ind w:firstLine="0" w:left="1200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28" w:type="paragraph">
    <w:name w:val="ListLabel 69"/>
    <w:link w:val="Style_28_ch"/>
  </w:style>
  <w:style w:styleId="Style_28_ch" w:type="character">
    <w:name w:val="ListLabel 69"/>
    <w:link w:val="Style_28"/>
  </w:style>
  <w:style w:styleId="Style_29" w:type="paragraph">
    <w:name w:val="ListLabel 105"/>
    <w:link w:val="Style_29_ch"/>
  </w:style>
  <w:style w:styleId="Style_29_ch" w:type="character">
    <w:name w:val="ListLabel 105"/>
    <w:link w:val="Style_29"/>
  </w:style>
  <w:style w:styleId="Style_30" w:type="paragraph">
    <w:name w:val="ListLabel 30"/>
    <w:link w:val="Style_30_ch"/>
  </w:style>
  <w:style w:styleId="Style_30_ch" w:type="character">
    <w:name w:val="ListLabel 30"/>
    <w:link w:val="Style_30"/>
  </w:style>
  <w:style w:styleId="Style_31" w:type="paragraph">
    <w:name w:val="ListLabel 41"/>
    <w:link w:val="Style_31_ch"/>
  </w:style>
  <w:style w:styleId="Style_31_ch" w:type="character">
    <w:name w:val="ListLabel 41"/>
    <w:link w:val="Style_31"/>
  </w:style>
  <w:style w:styleId="Style_32" w:type="paragraph">
    <w:name w:val="ListLabel 15"/>
    <w:link w:val="Style_32_ch"/>
  </w:style>
  <w:style w:styleId="Style_32_ch" w:type="character">
    <w:name w:val="ListLabel 15"/>
    <w:link w:val="Style_32"/>
  </w:style>
  <w:style w:styleId="Style_33" w:type="paragraph">
    <w:name w:val="ListLabel 83"/>
    <w:link w:val="Style_33_ch"/>
    <w:rPr>
      <w:color w:val="00000A"/>
      <w:sz w:val="28"/>
    </w:rPr>
  </w:style>
  <w:style w:styleId="Style_33_ch" w:type="character">
    <w:name w:val="ListLabel 83"/>
    <w:link w:val="Style_33"/>
    <w:rPr>
      <w:color w:val="00000A"/>
      <w:sz w:val="28"/>
    </w:rPr>
  </w:style>
  <w:style w:styleId="Style_34" w:type="paragraph">
    <w:name w:val="ListLabel 72"/>
    <w:link w:val="Style_34_ch"/>
  </w:style>
  <w:style w:styleId="Style_34_ch" w:type="character">
    <w:name w:val="ListLabel 72"/>
    <w:link w:val="Style_34"/>
  </w:style>
  <w:style w:styleId="Style_35" w:type="paragraph">
    <w:name w:val="Обычный1"/>
    <w:link w:val="Style_35_ch"/>
    <w:rPr>
      <w:rFonts w:ascii="Calibri" w:hAnsi="Calibri"/>
      <w:sz w:val="22"/>
    </w:rPr>
  </w:style>
  <w:style w:styleId="Style_35_ch" w:type="character">
    <w:name w:val="Обычный1"/>
    <w:link w:val="Style_35"/>
    <w:rPr>
      <w:rFonts w:ascii="Calibri" w:hAnsi="Calibri"/>
      <w:sz w:val="22"/>
    </w:rPr>
  </w:style>
  <w:style w:styleId="Style_36" w:type="paragraph">
    <w:name w:val="ListLabel 76"/>
    <w:link w:val="Style_36_ch"/>
  </w:style>
  <w:style w:styleId="Style_36_ch" w:type="character">
    <w:name w:val="ListLabel 76"/>
    <w:link w:val="Style_36"/>
  </w:style>
  <w:style w:styleId="Style_37" w:type="paragraph">
    <w:name w:val="ListLabel 51"/>
    <w:link w:val="Style_37_ch"/>
  </w:style>
  <w:style w:styleId="Style_37_ch" w:type="character">
    <w:name w:val="ListLabel 51"/>
    <w:link w:val="Style_37"/>
  </w:style>
  <w:style w:styleId="Style_38" w:type="paragraph">
    <w:name w:val="ListLabel 23"/>
    <w:link w:val="Style_38_ch"/>
  </w:style>
  <w:style w:styleId="Style_38_ch" w:type="character">
    <w:name w:val="ListLabel 23"/>
    <w:link w:val="Style_38"/>
  </w:style>
  <w:style w:styleId="Style_39" w:type="paragraph">
    <w:name w:val="ListLabel 102"/>
    <w:link w:val="Style_39_ch"/>
  </w:style>
  <w:style w:styleId="Style_39_ch" w:type="character">
    <w:name w:val="ListLabel 102"/>
    <w:link w:val="Style_39"/>
  </w:style>
  <w:style w:styleId="Style_40" w:type="paragraph">
    <w:name w:val="ListLabel 38"/>
    <w:link w:val="Style_40_ch"/>
  </w:style>
  <w:style w:styleId="Style_40_ch" w:type="character">
    <w:name w:val="ListLabel 38"/>
    <w:link w:val="Style_40"/>
  </w:style>
  <w:style w:styleId="Style_41" w:type="paragraph">
    <w:name w:val="ListLabel 29"/>
    <w:link w:val="Style_41_ch"/>
  </w:style>
  <w:style w:styleId="Style_41_ch" w:type="character">
    <w:name w:val="ListLabel 29"/>
    <w:link w:val="Style_41"/>
  </w:style>
  <w:style w:styleId="Style_42" w:type="paragraph">
    <w:name w:val="ListLabel 84"/>
    <w:link w:val="Style_42_ch"/>
  </w:style>
  <w:style w:styleId="Style_42_ch" w:type="character">
    <w:name w:val="ListLabel 84"/>
    <w:link w:val="Style_42"/>
  </w:style>
  <w:style w:styleId="Style_43" w:type="paragraph">
    <w:name w:val="heading 3"/>
    <w:next w:val="Style_3"/>
    <w:link w:val="Style_4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43_ch" w:type="character">
    <w:name w:val="heading 3"/>
    <w:link w:val="Style_43"/>
    <w:rPr>
      <w:rFonts w:ascii="XO Thames" w:hAnsi="XO Thames"/>
      <w:b w:val="1"/>
      <w:sz w:val="26"/>
    </w:rPr>
  </w:style>
  <w:style w:styleId="Style_44" w:type="paragraph">
    <w:name w:val="ListLabel 37"/>
    <w:link w:val="Style_44_ch"/>
  </w:style>
  <w:style w:styleId="Style_44_ch" w:type="character">
    <w:name w:val="ListLabel 37"/>
    <w:link w:val="Style_44"/>
  </w:style>
  <w:style w:styleId="Style_45" w:type="paragraph">
    <w:name w:val="ListLabel 55"/>
    <w:link w:val="Style_45_ch"/>
  </w:style>
  <w:style w:styleId="Style_45_ch" w:type="character">
    <w:name w:val="ListLabel 55"/>
    <w:link w:val="Style_45"/>
  </w:style>
  <w:style w:styleId="Style_46" w:type="paragraph">
    <w:name w:val="WW8Num2z8"/>
    <w:link w:val="Style_46_ch"/>
  </w:style>
  <w:style w:styleId="Style_46_ch" w:type="character">
    <w:name w:val="WW8Num2z8"/>
    <w:link w:val="Style_46"/>
  </w:style>
  <w:style w:styleId="Style_47" w:type="paragraph">
    <w:name w:val="ListLabel 90"/>
    <w:link w:val="Style_47_ch"/>
  </w:style>
  <w:style w:styleId="Style_47_ch" w:type="character">
    <w:name w:val="ListLabel 90"/>
    <w:link w:val="Style_47"/>
  </w:style>
  <w:style w:styleId="Style_48" w:type="paragraph">
    <w:name w:val="WW8Num2z5"/>
    <w:link w:val="Style_48_ch"/>
  </w:style>
  <w:style w:styleId="Style_48_ch" w:type="character">
    <w:name w:val="WW8Num2z5"/>
    <w:link w:val="Style_48"/>
  </w:style>
  <w:style w:styleId="Style_49" w:type="paragraph">
    <w:name w:val="Основной шрифт абзаца2"/>
    <w:link w:val="Style_49_ch"/>
  </w:style>
  <w:style w:styleId="Style_49_ch" w:type="character">
    <w:name w:val="Основной шрифт абзаца2"/>
    <w:link w:val="Style_49"/>
  </w:style>
  <w:style w:styleId="Style_50" w:type="paragraph">
    <w:name w:val="ListLabel 32"/>
    <w:link w:val="Style_50_ch"/>
  </w:style>
  <w:style w:styleId="Style_50_ch" w:type="character">
    <w:name w:val="ListLabel 32"/>
    <w:link w:val="Style_50"/>
  </w:style>
  <w:style w:styleId="Style_51" w:type="paragraph">
    <w:name w:val="WW8Num1z0"/>
    <w:link w:val="Style_51_ch"/>
    <w:rPr>
      <w:rFonts w:ascii="Symbol" w:hAnsi="Symbol"/>
      <w:sz w:val="28"/>
      <w:highlight w:val="yellow"/>
    </w:rPr>
  </w:style>
  <w:style w:styleId="Style_51_ch" w:type="character">
    <w:name w:val="WW8Num1z0"/>
    <w:link w:val="Style_51"/>
    <w:rPr>
      <w:rFonts w:ascii="Symbol" w:hAnsi="Symbol"/>
      <w:sz w:val="28"/>
      <w:highlight w:val="yellow"/>
    </w:rPr>
  </w:style>
  <w:style w:styleId="Style_52" w:type="paragraph">
    <w:name w:val="ListLabel 101"/>
    <w:link w:val="Style_52_ch"/>
    <w:rPr>
      <w:color w:val="00000A"/>
      <w:sz w:val="28"/>
    </w:rPr>
  </w:style>
  <w:style w:styleId="Style_52_ch" w:type="character">
    <w:name w:val="ListLabel 101"/>
    <w:link w:val="Style_52"/>
    <w:rPr>
      <w:color w:val="00000A"/>
      <w:sz w:val="28"/>
    </w:rPr>
  </w:style>
  <w:style w:styleId="Style_53" w:type="paragraph">
    <w:name w:val="ListLabel 80"/>
    <w:link w:val="Style_53_ch"/>
  </w:style>
  <w:style w:styleId="Style_53_ch" w:type="character">
    <w:name w:val="ListLabel 80"/>
    <w:link w:val="Style_53"/>
  </w:style>
  <w:style w:styleId="Style_54" w:type="paragraph">
    <w:name w:val="ListLabel 25"/>
    <w:link w:val="Style_54_ch"/>
  </w:style>
  <w:style w:styleId="Style_54_ch" w:type="character">
    <w:name w:val="ListLabel 25"/>
    <w:link w:val="Style_54"/>
  </w:style>
  <w:style w:styleId="Style_55" w:type="paragraph">
    <w:name w:val="ListLabel 44"/>
    <w:link w:val="Style_55_ch"/>
    <w:rPr>
      <w:color w:val="00000A"/>
      <w:sz w:val="28"/>
    </w:rPr>
  </w:style>
  <w:style w:styleId="Style_55_ch" w:type="character">
    <w:name w:val="ListLabel 44"/>
    <w:link w:val="Style_55"/>
    <w:rPr>
      <w:color w:val="00000A"/>
      <w:sz w:val="28"/>
    </w:rPr>
  </w:style>
  <w:style w:styleId="Style_56" w:type="paragraph">
    <w:name w:val="ListLabel 67"/>
    <w:link w:val="Style_56_ch"/>
  </w:style>
  <w:style w:styleId="Style_56_ch" w:type="character">
    <w:name w:val="ListLabel 67"/>
    <w:link w:val="Style_56"/>
  </w:style>
  <w:style w:styleId="Style_57" w:type="paragraph">
    <w:name w:val="List Paragraph"/>
    <w:basedOn w:val="Style_2"/>
    <w:link w:val="Style_57_ch"/>
    <w:pPr>
      <w:ind w:firstLine="0" w:left="720"/>
    </w:pPr>
  </w:style>
  <w:style w:styleId="Style_57_ch" w:type="character">
    <w:name w:val="List Paragraph"/>
    <w:basedOn w:val="Style_2_ch"/>
    <w:link w:val="Style_57"/>
  </w:style>
  <w:style w:styleId="Style_58" w:type="paragraph">
    <w:name w:val="ListLabel 33"/>
    <w:link w:val="Style_58_ch"/>
  </w:style>
  <w:style w:styleId="Style_58_ch" w:type="character">
    <w:name w:val="ListLabel 33"/>
    <w:link w:val="Style_58"/>
  </w:style>
  <w:style w:styleId="Style_59" w:type="paragraph">
    <w:name w:val="ListLabel 31"/>
    <w:link w:val="Style_59_ch"/>
  </w:style>
  <w:style w:styleId="Style_59_ch" w:type="character">
    <w:name w:val="ListLabel 31"/>
    <w:link w:val="Style_59"/>
  </w:style>
  <w:style w:styleId="Style_60" w:type="paragraph">
    <w:name w:val="WW8Num3z8"/>
    <w:link w:val="Style_60_ch"/>
  </w:style>
  <w:style w:styleId="Style_60_ch" w:type="character">
    <w:name w:val="WW8Num3z8"/>
    <w:link w:val="Style_60"/>
  </w:style>
  <w:style w:styleId="Style_61" w:type="paragraph">
    <w:name w:val="ListLabel 106"/>
    <w:link w:val="Style_61_ch"/>
  </w:style>
  <w:style w:styleId="Style_61_ch" w:type="character">
    <w:name w:val="ListLabel 106"/>
    <w:link w:val="Style_61"/>
  </w:style>
  <w:style w:styleId="Style_62" w:type="paragraph">
    <w:name w:val="WW8Num3z3"/>
    <w:link w:val="Style_62_ch"/>
  </w:style>
  <w:style w:styleId="Style_62_ch" w:type="character">
    <w:name w:val="WW8Num3z3"/>
    <w:link w:val="Style_62"/>
  </w:style>
  <w:style w:styleId="Style_63" w:type="paragraph">
    <w:name w:val="ListLabel 26"/>
    <w:link w:val="Style_63_ch"/>
  </w:style>
  <w:style w:styleId="Style_63_ch" w:type="character">
    <w:name w:val="ListLabel 26"/>
    <w:link w:val="Style_63"/>
  </w:style>
  <w:style w:styleId="Style_64" w:type="paragraph">
    <w:name w:val="ListLabel 12"/>
    <w:link w:val="Style_64_ch"/>
  </w:style>
  <w:style w:styleId="Style_64_ch" w:type="character">
    <w:name w:val="ListLabel 12"/>
    <w:link w:val="Style_64"/>
  </w:style>
  <w:style w:styleId="Style_65" w:type="paragraph">
    <w:name w:val="ListLabel 64"/>
    <w:link w:val="Style_65_ch"/>
    <w:rPr>
      <w:color w:val="00000A"/>
      <w:sz w:val="28"/>
    </w:rPr>
  </w:style>
  <w:style w:styleId="Style_65_ch" w:type="character">
    <w:name w:val="ListLabel 64"/>
    <w:link w:val="Style_65"/>
    <w:rPr>
      <w:color w:val="00000A"/>
      <w:sz w:val="28"/>
    </w:rPr>
  </w:style>
  <w:style w:styleId="Style_66" w:type="paragraph">
    <w:name w:val="Font Style12"/>
    <w:basedOn w:val="Style_67"/>
    <w:link w:val="Style_66_ch"/>
    <w:rPr>
      <w:sz w:val="26"/>
    </w:rPr>
  </w:style>
  <w:style w:styleId="Style_66_ch" w:type="character">
    <w:name w:val="Font Style12"/>
    <w:basedOn w:val="Style_67_ch"/>
    <w:link w:val="Style_66"/>
    <w:rPr>
      <w:sz w:val="26"/>
    </w:rPr>
  </w:style>
  <w:style w:styleId="Style_68" w:type="paragraph">
    <w:name w:val="ListLabel 21"/>
    <w:link w:val="Style_68_ch"/>
  </w:style>
  <w:style w:styleId="Style_68_ch" w:type="character">
    <w:name w:val="ListLabel 21"/>
    <w:link w:val="Style_68"/>
  </w:style>
  <w:style w:styleId="Style_69" w:type="paragraph">
    <w:name w:val="ListLabel 10"/>
    <w:link w:val="Style_69_ch"/>
    <w:rPr>
      <w:color w:val="00000A"/>
      <w:sz w:val="28"/>
    </w:rPr>
  </w:style>
  <w:style w:styleId="Style_69_ch" w:type="character">
    <w:name w:val="ListLabel 10"/>
    <w:link w:val="Style_69"/>
    <w:rPr>
      <w:color w:val="00000A"/>
      <w:sz w:val="28"/>
    </w:rPr>
  </w:style>
  <w:style w:styleId="Style_70" w:type="paragraph">
    <w:name w:val="ListLabel 113"/>
    <w:link w:val="Style_70_ch"/>
  </w:style>
  <w:style w:styleId="Style_70_ch" w:type="character">
    <w:name w:val="ListLabel 113"/>
    <w:link w:val="Style_70"/>
  </w:style>
  <w:style w:styleId="Style_71" w:type="paragraph">
    <w:name w:val="ListLabel 70"/>
    <w:link w:val="Style_71_ch"/>
  </w:style>
  <w:style w:styleId="Style_71_ch" w:type="character">
    <w:name w:val="ListLabel 70"/>
    <w:link w:val="Style_71"/>
  </w:style>
  <w:style w:styleId="Style_72" w:type="paragraph">
    <w:name w:val="index heading"/>
    <w:basedOn w:val="Style_3"/>
    <w:link w:val="Style_72_ch"/>
  </w:style>
  <w:style w:styleId="Style_72_ch" w:type="character">
    <w:name w:val="index heading"/>
    <w:basedOn w:val="Style_3_ch"/>
    <w:link w:val="Style_72"/>
  </w:style>
  <w:style w:styleId="Style_73" w:type="paragraph">
    <w:name w:val="ListLabel 50"/>
    <w:link w:val="Style_73_ch"/>
  </w:style>
  <w:style w:styleId="Style_73_ch" w:type="character">
    <w:name w:val="ListLabel 50"/>
    <w:link w:val="Style_73"/>
  </w:style>
  <w:style w:styleId="Style_74" w:type="paragraph">
    <w:name w:val="ListLabel 112"/>
    <w:link w:val="Style_74_ch"/>
  </w:style>
  <w:style w:styleId="Style_74_ch" w:type="character">
    <w:name w:val="ListLabel 112"/>
    <w:link w:val="Style_74"/>
  </w:style>
  <w:style w:styleId="Style_75" w:type="paragraph">
    <w:name w:val="ListLabel 9"/>
    <w:link w:val="Style_75_ch"/>
  </w:style>
  <w:style w:styleId="Style_75_ch" w:type="character">
    <w:name w:val="ListLabel 9"/>
    <w:link w:val="Style_75"/>
  </w:style>
  <w:style w:styleId="Style_76" w:type="paragraph">
    <w:name w:val="Гиперссылка1"/>
    <w:link w:val="Style_76_ch"/>
    <w:rPr>
      <w:color w:val="0000FF"/>
      <w:u w:val="single"/>
    </w:rPr>
  </w:style>
  <w:style w:styleId="Style_76_ch" w:type="character">
    <w:name w:val="Гиперссылка1"/>
    <w:link w:val="Style_76"/>
    <w:rPr>
      <w:color w:val="0000FF"/>
      <w:u w:val="single"/>
    </w:rPr>
  </w:style>
  <w:style w:styleId="Style_77" w:type="paragraph">
    <w:name w:val="ListLabel 95"/>
    <w:link w:val="Style_77_ch"/>
  </w:style>
  <w:style w:styleId="Style_77_ch" w:type="character">
    <w:name w:val="ListLabel 95"/>
    <w:link w:val="Style_77"/>
  </w:style>
  <w:style w:styleId="Style_78" w:type="paragraph">
    <w:name w:val="ListLabel 46"/>
    <w:link w:val="Style_78_ch"/>
  </w:style>
  <w:style w:styleId="Style_78_ch" w:type="character">
    <w:name w:val="ListLabel 46"/>
    <w:link w:val="Style_78"/>
  </w:style>
  <w:style w:styleId="Style_79" w:type="paragraph">
    <w:name w:val="toc 3"/>
    <w:next w:val="Style_3"/>
    <w:link w:val="Style_79_ch"/>
    <w:uiPriority w:val="39"/>
    <w:pPr>
      <w:ind w:firstLine="0" w:left="400"/>
    </w:pPr>
    <w:rPr>
      <w:rFonts w:ascii="XO Thames" w:hAnsi="XO Thames"/>
      <w:sz w:val="28"/>
    </w:rPr>
  </w:style>
  <w:style w:styleId="Style_79_ch" w:type="character">
    <w:name w:val="toc 3"/>
    <w:link w:val="Style_79"/>
    <w:rPr>
      <w:rFonts w:ascii="XO Thames" w:hAnsi="XO Thames"/>
      <w:sz w:val="28"/>
    </w:rPr>
  </w:style>
  <w:style w:styleId="Style_80" w:type="paragraph">
    <w:name w:val="No Spacing"/>
    <w:link w:val="Style_80_ch"/>
  </w:style>
  <w:style w:styleId="Style_80_ch" w:type="character">
    <w:name w:val="No Spacing"/>
    <w:link w:val="Style_80"/>
  </w:style>
  <w:style w:styleId="Style_81" w:type="paragraph">
    <w:name w:val="ListLabel 1"/>
    <w:link w:val="Style_81_ch"/>
  </w:style>
  <w:style w:styleId="Style_81_ch" w:type="character">
    <w:name w:val="ListLabel 1"/>
    <w:link w:val="Style_81"/>
  </w:style>
  <w:style w:styleId="Style_82" w:type="paragraph">
    <w:name w:val="ListLabel 47"/>
    <w:link w:val="Style_82_ch"/>
  </w:style>
  <w:style w:styleId="Style_82_ch" w:type="character">
    <w:name w:val="ListLabel 47"/>
    <w:link w:val="Style_82"/>
  </w:style>
  <w:style w:styleId="Style_83" w:type="paragraph">
    <w:name w:val="Заголовок"/>
    <w:basedOn w:val="Style_3"/>
    <w:next w:val="Style_84"/>
    <w:link w:val="Style_83_ch"/>
    <w:pPr>
      <w:keepNext w:val="1"/>
      <w:widowControl w:val="0"/>
      <w:spacing w:after="120" w:before="240"/>
      <w:ind/>
    </w:pPr>
    <w:rPr>
      <w:rFonts w:ascii="Liberation Sans" w:hAnsi="Liberation Sans"/>
      <w:sz w:val="28"/>
    </w:rPr>
  </w:style>
  <w:style w:styleId="Style_83_ch" w:type="character">
    <w:name w:val="Заголовок"/>
    <w:basedOn w:val="Style_3_ch"/>
    <w:link w:val="Style_83"/>
    <w:rPr>
      <w:rFonts w:ascii="Liberation Sans" w:hAnsi="Liberation Sans"/>
      <w:sz w:val="28"/>
    </w:rPr>
  </w:style>
  <w:style w:styleId="Style_85" w:type="paragraph">
    <w:name w:val="ListLabel 85"/>
    <w:link w:val="Style_85_ch"/>
  </w:style>
  <w:style w:styleId="Style_85_ch" w:type="character">
    <w:name w:val="ListLabel 85"/>
    <w:link w:val="Style_85"/>
  </w:style>
  <w:style w:styleId="Style_86" w:type="paragraph">
    <w:name w:val="Без интервала1"/>
    <w:link w:val="Style_86_ch"/>
    <w:rPr>
      <w:rFonts w:ascii="Liberation Serif" w:hAnsi="Liberation Serif"/>
      <w:color w:val="00000A"/>
      <w:sz w:val="22"/>
    </w:rPr>
  </w:style>
  <w:style w:styleId="Style_86_ch" w:type="character">
    <w:name w:val="Без интервала1"/>
    <w:link w:val="Style_86"/>
    <w:rPr>
      <w:rFonts w:ascii="Liberation Serif" w:hAnsi="Liberation Serif"/>
      <w:color w:val="00000A"/>
      <w:sz w:val="22"/>
    </w:rPr>
  </w:style>
  <w:style w:styleId="Style_87" w:type="paragraph">
    <w:name w:val="ListLabel 14"/>
    <w:link w:val="Style_87_ch"/>
  </w:style>
  <w:style w:styleId="Style_87_ch" w:type="character">
    <w:name w:val="ListLabel 14"/>
    <w:link w:val="Style_87"/>
  </w:style>
  <w:style w:styleId="Style_88" w:type="paragraph">
    <w:name w:val="WW8Num1z8"/>
    <w:link w:val="Style_88_ch"/>
    <w:rPr>
      <w:rFonts w:ascii="Wingdings" w:hAnsi="Wingdings"/>
      <w:color w:val="00000A"/>
      <w:sz w:val="28"/>
    </w:rPr>
  </w:style>
  <w:style w:styleId="Style_88_ch" w:type="character">
    <w:name w:val="WW8Num1z8"/>
    <w:link w:val="Style_88"/>
    <w:rPr>
      <w:rFonts w:ascii="Wingdings" w:hAnsi="Wingdings"/>
      <w:color w:val="00000A"/>
      <w:sz w:val="28"/>
    </w:rPr>
  </w:style>
  <w:style w:styleId="Style_89" w:type="paragraph">
    <w:name w:val="ListLabel 110"/>
    <w:link w:val="Style_89_ch"/>
    <w:rPr>
      <w:color w:val="00000A"/>
      <w:sz w:val="28"/>
    </w:rPr>
  </w:style>
  <w:style w:styleId="Style_89_ch" w:type="character">
    <w:name w:val="ListLabel 110"/>
    <w:link w:val="Style_89"/>
    <w:rPr>
      <w:color w:val="00000A"/>
      <w:sz w:val="28"/>
    </w:rPr>
  </w:style>
  <w:style w:styleId="Style_90" w:type="paragraph">
    <w:name w:val="Знак примечания1"/>
    <w:basedOn w:val="Style_67"/>
    <w:link w:val="Style_90_ch"/>
    <w:rPr>
      <w:sz w:val="16"/>
    </w:rPr>
  </w:style>
  <w:style w:styleId="Style_90_ch" w:type="character">
    <w:name w:val="Знак примечания1"/>
    <w:basedOn w:val="Style_67_ch"/>
    <w:link w:val="Style_90"/>
    <w:rPr>
      <w:sz w:val="16"/>
    </w:rPr>
  </w:style>
  <w:style w:styleId="Style_91" w:type="paragraph">
    <w:name w:val="ListLabel 57"/>
    <w:link w:val="Style_91_ch"/>
  </w:style>
  <w:style w:styleId="Style_91_ch" w:type="character">
    <w:name w:val="ListLabel 57"/>
    <w:link w:val="Style_91"/>
  </w:style>
  <w:style w:styleId="Style_92" w:type="paragraph">
    <w:name w:val="ListLabel 86"/>
    <w:link w:val="Style_92_ch"/>
  </w:style>
  <w:style w:styleId="Style_92_ch" w:type="character">
    <w:name w:val="ListLabel 86"/>
    <w:link w:val="Style_92"/>
  </w:style>
  <w:style w:styleId="Style_93" w:type="paragraph">
    <w:name w:val="ListLabel 59"/>
    <w:link w:val="Style_93_ch"/>
  </w:style>
  <w:style w:styleId="Style_93_ch" w:type="character">
    <w:name w:val="ListLabel 59"/>
    <w:link w:val="Style_93"/>
  </w:style>
  <w:style w:styleId="Style_94" w:type="paragraph">
    <w:name w:val="WW8Num3z7"/>
    <w:link w:val="Style_94_ch"/>
  </w:style>
  <w:style w:styleId="Style_94_ch" w:type="character">
    <w:name w:val="WW8Num3z7"/>
    <w:link w:val="Style_94"/>
  </w:style>
  <w:style w:styleId="Style_95" w:type="paragraph">
    <w:name w:val="Основной шрифт абзаца1"/>
    <w:link w:val="Style_95_ch"/>
  </w:style>
  <w:style w:styleId="Style_95_ch" w:type="character">
    <w:name w:val="Основной шрифт абзаца1"/>
    <w:link w:val="Style_95"/>
  </w:style>
  <w:style w:styleId="Style_96" w:type="paragraph">
    <w:name w:val="heading 5"/>
    <w:next w:val="Style_3"/>
    <w:link w:val="Style_9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6_ch" w:type="character">
    <w:name w:val="heading 5"/>
    <w:link w:val="Style_96"/>
    <w:rPr>
      <w:rFonts w:ascii="XO Thames" w:hAnsi="XO Thames"/>
      <w:b w:val="1"/>
      <w:sz w:val="22"/>
    </w:rPr>
  </w:style>
  <w:style w:styleId="Style_97" w:type="paragraph">
    <w:name w:val="Текст в заданном формате"/>
    <w:basedOn w:val="Style_2"/>
    <w:link w:val="Style_97_ch"/>
    <w:pPr>
      <w:widowControl w:val="0"/>
      <w:spacing w:after="0" w:line="240" w:lineRule="auto"/>
      <w:ind/>
    </w:pPr>
    <w:rPr>
      <w:rFonts w:ascii="Liberation Mono" w:hAnsi="Liberation Mono"/>
      <w:sz w:val="20"/>
    </w:rPr>
  </w:style>
  <w:style w:styleId="Style_97_ch" w:type="character">
    <w:name w:val="Текст в заданном формате"/>
    <w:basedOn w:val="Style_2_ch"/>
    <w:link w:val="Style_97"/>
    <w:rPr>
      <w:rFonts w:ascii="Liberation Mono" w:hAnsi="Liberation Mono"/>
      <w:sz w:val="20"/>
    </w:rPr>
  </w:style>
  <w:style w:styleId="Style_98" w:type="paragraph">
    <w:name w:val="WW8Num2z0"/>
    <w:link w:val="Style_98_ch"/>
  </w:style>
  <w:style w:styleId="Style_98_ch" w:type="character">
    <w:name w:val="WW8Num2z0"/>
    <w:link w:val="Style_98"/>
  </w:style>
  <w:style w:styleId="Style_99" w:type="paragraph">
    <w:name w:val="ListLabel 16"/>
    <w:link w:val="Style_99_ch"/>
    <w:rPr>
      <w:color w:val="00000A"/>
      <w:sz w:val="28"/>
    </w:rPr>
  </w:style>
  <w:style w:styleId="Style_99_ch" w:type="character">
    <w:name w:val="ListLabel 16"/>
    <w:link w:val="Style_99"/>
    <w:rPr>
      <w:color w:val="00000A"/>
      <w:sz w:val="28"/>
    </w:rPr>
  </w:style>
  <w:style w:styleId="Style_100" w:type="paragraph">
    <w:name w:val="ListLabel 73"/>
    <w:link w:val="Style_100_ch"/>
  </w:style>
  <w:style w:styleId="Style_100_ch" w:type="character">
    <w:name w:val="ListLabel 73"/>
    <w:link w:val="Style_100"/>
  </w:style>
  <w:style w:styleId="Style_101" w:type="paragraph">
    <w:name w:val="ListLabel 117"/>
    <w:link w:val="Style_101_ch"/>
  </w:style>
  <w:style w:styleId="Style_101_ch" w:type="character">
    <w:name w:val="ListLabel 117"/>
    <w:link w:val="Style_101"/>
  </w:style>
  <w:style w:styleId="Style_102" w:type="paragraph">
    <w:name w:val="heading 1"/>
    <w:next w:val="Style_3"/>
    <w:link w:val="Style_10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2_ch" w:type="character">
    <w:name w:val="heading 1"/>
    <w:link w:val="Style_102"/>
    <w:rPr>
      <w:rFonts w:ascii="XO Thames" w:hAnsi="XO Thames"/>
      <w:b w:val="1"/>
      <w:sz w:val="32"/>
    </w:rPr>
  </w:style>
  <w:style w:styleId="Style_103" w:type="paragraph">
    <w:name w:val="ListLabel 108"/>
    <w:link w:val="Style_103_ch"/>
  </w:style>
  <w:style w:styleId="Style_103_ch" w:type="character">
    <w:name w:val="ListLabel 108"/>
    <w:link w:val="Style_103"/>
  </w:style>
  <w:style w:styleId="Style_104" w:type="paragraph">
    <w:name w:val="WW8Num3z0"/>
    <w:link w:val="Style_104_ch"/>
  </w:style>
  <w:style w:styleId="Style_104_ch" w:type="character">
    <w:name w:val="WW8Num3z0"/>
    <w:link w:val="Style_104"/>
  </w:style>
  <w:style w:styleId="Style_105" w:type="paragraph">
    <w:name w:val="ListLabel 13"/>
    <w:link w:val="Style_105_ch"/>
    <w:rPr>
      <w:color w:val="00000A"/>
      <w:sz w:val="28"/>
    </w:rPr>
  </w:style>
  <w:style w:styleId="Style_105_ch" w:type="character">
    <w:name w:val="ListLabel 13"/>
    <w:link w:val="Style_105"/>
    <w:rPr>
      <w:color w:val="00000A"/>
      <w:sz w:val="28"/>
    </w:rPr>
  </w:style>
  <w:style w:styleId="Style_106" w:type="paragraph">
    <w:name w:val="ListLabel 79"/>
    <w:link w:val="Style_106_ch"/>
  </w:style>
  <w:style w:styleId="Style_106_ch" w:type="character">
    <w:name w:val="ListLabel 79"/>
    <w:link w:val="Style_106"/>
  </w:style>
  <w:style w:styleId="Style_107" w:type="paragraph">
    <w:name w:val="Hyperlink"/>
    <w:link w:val="Style_107_ch"/>
    <w:rPr>
      <w:color w:val="0000FF"/>
      <w:u w:val="single"/>
    </w:rPr>
  </w:style>
  <w:style w:styleId="Style_107_ch" w:type="character">
    <w:name w:val="Hyperlink"/>
    <w:link w:val="Style_107"/>
    <w:rPr>
      <w:color w:val="0000FF"/>
      <w:u w:val="single"/>
    </w:rPr>
  </w:style>
  <w:style w:styleId="Style_108" w:type="paragraph">
    <w:name w:val="Footnote"/>
    <w:link w:val="Style_108_ch"/>
    <w:pPr>
      <w:ind w:firstLine="851" w:left="0"/>
      <w:jc w:val="both"/>
    </w:pPr>
    <w:rPr>
      <w:rFonts w:ascii="XO Thames" w:hAnsi="XO Thames"/>
      <w:sz w:val="22"/>
    </w:rPr>
  </w:style>
  <w:style w:styleId="Style_108_ch" w:type="character">
    <w:name w:val="Footnote"/>
    <w:link w:val="Style_108"/>
    <w:rPr>
      <w:rFonts w:ascii="XO Thames" w:hAnsi="XO Thames"/>
      <w:sz w:val="22"/>
    </w:rPr>
  </w:style>
  <w:style w:styleId="Style_109" w:type="paragraph">
    <w:name w:val="ListLabel 18"/>
    <w:link w:val="Style_109_ch"/>
  </w:style>
  <w:style w:styleId="Style_109_ch" w:type="character">
    <w:name w:val="ListLabel 18"/>
    <w:link w:val="Style_109"/>
  </w:style>
  <w:style w:styleId="Style_110" w:type="paragraph">
    <w:name w:val="ListLabel 100"/>
    <w:link w:val="Style_110_ch"/>
  </w:style>
  <w:style w:styleId="Style_110_ch" w:type="character">
    <w:name w:val="ListLabel 100"/>
    <w:link w:val="Style_110"/>
  </w:style>
  <w:style w:styleId="Style_111" w:type="paragraph">
    <w:name w:val="ListLabel 71"/>
    <w:link w:val="Style_111_ch"/>
  </w:style>
  <w:style w:styleId="Style_111_ch" w:type="character">
    <w:name w:val="ListLabel 71"/>
    <w:link w:val="Style_111"/>
  </w:style>
  <w:style w:styleId="Style_112" w:type="paragraph">
    <w:name w:val="ListLabel 77"/>
    <w:link w:val="Style_112_ch"/>
  </w:style>
  <w:style w:styleId="Style_112_ch" w:type="character">
    <w:name w:val="ListLabel 77"/>
    <w:link w:val="Style_112"/>
  </w:style>
  <w:style w:styleId="Style_113" w:type="paragraph">
    <w:name w:val="WW8Num2z1"/>
    <w:link w:val="Style_113_ch"/>
  </w:style>
  <w:style w:styleId="Style_113_ch" w:type="character">
    <w:name w:val="WW8Num2z1"/>
    <w:link w:val="Style_113"/>
  </w:style>
  <w:style w:styleId="Style_114" w:type="paragraph">
    <w:name w:val="toc 1"/>
    <w:next w:val="Style_3"/>
    <w:link w:val="Style_114_ch"/>
    <w:uiPriority w:val="39"/>
    <w:rPr>
      <w:rFonts w:ascii="XO Thames" w:hAnsi="XO Thames"/>
      <w:b w:val="1"/>
      <w:sz w:val="28"/>
    </w:rPr>
  </w:style>
  <w:style w:styleId="Style_114_ch" w:type="character">
    <w:name w:val="toc 1"/>
    <w:link w:val="Style_114"/>
    <w:rPr>
      <w:rFonts w:ascii="XO Thames" w:hAnsi="XO Thames"/>
      <w:b w:val="1"/>
      <w:sz w:val="28"/>
    </w:rPr>
  </w:style>
  <w:style w:styleId="Style_115" w:type="paragraph">
    <w:name w:val="ListLabel 81"/>
    <w:link w:val="Style_115_ch"/>
  </w:style>
  <w:style w:styleId="Style_115_ch" w:type="character">
    <w:name w:val="ListLabel 81"/>
    <w:link w:val="Style_115"/>
  </w:style>
  <w:style w:styleId="Style_116" w:type="paragraph">
    <w:name w:val="ListLabel 58"/>
    <w:link w:val="Style_116_ch"/>
  </w:style>
  <w:style w:styleId="Style_116_ch" w:type="character">
    <w:name w:val="ListLabel 58"/>
    <w:link w:val="Style_116"/>
  </w:style>
  <w:style w:styleId="Style_117" w:type="paragraph">
    <w:name w:val="annotation text"/>
    <w:basedOn w:val="Style_3"/>
    <w:link w:val="Style_117_ch"/>
    <w:rPr>
      <w:sz w:val="20"/>
    </w:rPr>
  </w:style>
  <w:style w:styleId="Style_117_ch" w:type="character">
    <w:name w:val="annotation text"/>
    <w:basedOn w:val="Style_3_ch"/>
    <w:link w:val="Style_117"/>
    <w:rPr>
      <w:sz w:val="20"/>
    </w:rPr>
  </w:style>
  <w:style w:styleId="Style_118" w:type="paragraph">
    <w:name w:val="Balloon Text"/>
    <w:basedOn w:val="Style_2"/>
    <w:link w:val="Style_118_ch"/>
    <w:pPr>
      <w:spacing w:after="0" w:line="240" w:lineRule="auto"/>
      <w:ind/>
    </w:pPr>
    <w:rPr>
      <w:rFonts w:ascii="Tahoma" w:hAnsi="Tahoma"/>
      <w:sz w:val="16"/>
    </w:rPr>
  </w:style>
  <w:style w:styleId="Style_118_ch" w:type="character">
    <w:name w:val="Balloon Text"/>
    <w:basedOn w:val="Style_2_ch"/>
    <w:link w:val="Style_118"/>
    <w:rPr>
      <w:rFonts w:ascii="Tahoma" w:hAnsi="Tahoma"/>
      <w:sz w:val="16"/>
    </w:rPr>
  </w:style>
  <w:style w:styleId="Style_119" w:type="paragraph">
    <w:name w:val="Текст примечания Знак"/>
    <w:basedOn w:val="Style_67"/>
    <w:link w:val="Style_119_ch"/>
  </w:style>
  <w:style w:styleId="Style_119_ch" w:type="character">
    <w:name w:val="Текст примечания Знак"/>
    <w:basedOn w:val="Style_67_ch"/>
    <w:link w:val="Style_119"/>
  </w:style>
  <w:style w:styleId="Style_120" w:type="paragraph">
    <w:name w:val="WW8Num3z5"/>
    <w:link w:val="Style_120_ch"/>
  </w:style>
  <w:style w:styleId="Style_120_ch" w:type="character">
    <w:name w:val="WW8Num3z5"/>
    <w:link w:val="Style_120"/>
  </w:style>
  <w:style w:styleId="Style_121" w:type="paragraph">
    <w:name w:val="Основной текст с отступом 2 Знак"/>
    <w:basedOn w:val="Style_67"/>
    <w:link w:val="Style_121_ch"/>
  </w:style>
  <w:style w:styleId="Style_121_ch" w:type="character">
    <w:name w:val="Основной текст с отступом 2 Знак"/>
    <w:basedOn w:val="Style_67_ch"/>
    <w:link w:val="Style_121"/>
  </w:style>
  <w:style w:styleId="Style_122" w:type="paragraph">
    <w:name w:val="Header and Footer"/>
    <w:link w:val="Style_122_ch"/>
    <w:pPr>
      <w:ind/>
      <w:jc w:val="both"/>
    </w:pPr>
    <w:rPr>
      <w:rFonts w:ascii="XO Thames" w:hAnsi="XO Thames"/>
    </w:rPr>
  </w:style>
  <w:style w:styleId="Style_122_ch" w:type="character">
    <w:name w:val="Header and Footer"/>
    <w:link w:val="Style_122"/>
    <w:rPr>
      <w:rFonts w:ascii="XO Thames" w:hAnsi="XO Thames"/>
    </w:rPr>
  </w:style>
  <w:style w:styleId="Style_123" w:type="paragraph">
    <w:name w:val="ListLabel 94"/>
    <w:link w:val="Style_123_ch"/>
  </w:style>
  <w:style w:styleId="Style_123_ch" w:type="character">
    <w:name w:val="ListLabel 94"/>
    <w:link w:val="Style_123"/>
  </w:style>
  <w:style w:styleId="Style_124" w:type="paragraph">
    <w:name w:val="ListLabel 99"/>
    <w:link w:val="Style_124_ch"/>
  </w:style>
  <w:style w:styleId="Style_124_ch" w:type="character">
    <w:name w:val="ListLabel 99"/>
    <w:link w:val="Style_124"/>
  </w:style>
  <w:style w:styleId="Style_125" w:type="paragraph">
    <w:name w:val="Normal (Web)"/>
    <w:basedOn w:val="Style_2"/>
    <w:link w:val="Style_125_ch"/>
    <w:pPr>
      <w:spacing w:after="119" w:before="280" w:line="240" w:lineRule="auto"/>
      <w:ind/>
    </w:pPr>
    <w:rPr>
      <w:rFonts w:ascii="Times New Roman" w:hAnsi="Times New Roman"/>
    </w:rPr>
  </w:style>
  <w:style w:styleId="Style_125_ch" w:type="character">
    <w:name w:val="Normal (Web)"/>
    <w:basedOn w:val="Style_2_ch"/>
    <w:link w:val="Style_125"/>
    <w:rPr>
      <w:rFonts w:ascii="Times New Roman" w:hAnsi="Times New Roman"/>
    </w:rPr>
  </w:style>
  <w:style w:styleId="Style_126" w:type="paragraph">
    <w:name w:val="Обычный1"/>
    <w:link w:val="Style_126_ch"/>
    <w:rPr>
      <w:rFonts w:ascii="Calibri" w:hAnsi="Calibri"/>
      <w:sz w:val="22"/>
    </w:rPr>
  </w:style>
  <w:style w:styleId="Style_126_ch" w:type="character">
    <w:name w:val="Обычный1"/>
    <w:link w:val="Style_126"/>
    <w:rPr>
      <w:rFonts w:ascii="Calibri" w:hAnsi="Calibri"/>
      <w:sz w:val="22"/>
    </w:rPr>
  </w:style>
  <w:style w:styleId="Style_127" w:type="paragraph">
    <w:name w:val="Без интервала Знак"/>
    <w:link w:val="Style_127_ch"/>
  </w:style>
  <w:style w:styleId="Style_127_ch" w:type="character">
    <w:name w:val="Без интервала Знак"/>
    <w:link w:val="Style_127"/>
  </w:style>
  <w:style w:styleId="Style_128" w:type="paragraph">
    <w:name w:val="ListLabel 4"/>
    <w:link w:val="Style_128_ch"/>
  </w:style>
  <w:style w:styleId="Style_128_ch" w:type="character">
    <w:name w:val="ListLabel 4"/>
    <w:link w:val="Style_128"/>
  </w:style>
  <w:style w:styleId="Style_129" w:type="paragraph">
    <w:name w:val="ListLabel 114"/>
    <w:link w:val="Style_129_ch"/>
  </w:style>
  <w:style w:styleId="Style_129_ch" w:type="character">
    <w:name w:val="ListLabel 114"/>
    <w:link w:val="Style_129"/>
  </w:style>
  <w:style w:styleId="Style_130" w:type="paragraph">
    <w:name w:val="ListLabel 53"/>
    <w:link w:val="Style_130_ch"/>
  </w:style>
  <w:style w:styleId="Style_130_ch" w:type="character">
    <w:name w:val="ListLabel 53"/>
    <w:link w:val="Style_130"/>
  </w:style>
  <w:style w:styleId="Style_131" w:type="paragraph">
    <w:name w:val="ListLabel 82"/>
    <w:link w:val="Style_131_ch"/>
  </w:style>
  <w:style w:styleId="Style_131_ch" w:type="character">
    <w:name w:val="ListLabel 82"/>
    <w:link w:val="Style_131"/>
  </w:style>
  <w:style w:styleId="Style_132" w:type="paragraph">
    <w:name w:val="ListLabel 7"/>
    <w:link w:val="Style_132_ch"/>
  </w:style>
  <w:style w:styleId="Style_132_ch" w:type="character">
    <w:name w:val="ListLabel 7"/>
    <w:link w:val="Style_132"/>
  </w:style>
  <w:style w:styleId="Style_133" w:type="paragraph">
    <w:name w:val="ListLabel 97"/>
    <w:link w:val="Style_133_ch"/>
  </w:style>
  <w:style w:styleId="Style_133_ch" w:type="character">
    <w:name w:val="ListLabel 97"/>
    <w:link w:val="Style_133"/>
  </w:style>
  <w:style w:styleId="Style_134" w:type="paragraph">
    <w:name w:val="ListLabel 24"/>
    <w:link w:val="Style_134_ch"/>
  </w:style>
  <w:style w:styleId="Style_134_ch" w:type="character">
    <w:name w:val="ListLabel 24"/>
    <w:link w:val="Style_134"/>
  </w:style>
  <w:style w:styleId="Style_135" w:type="paragraph">
    <w:name w:val="Название объекта1"/>
    <w:basedOn w:val="Style_3"/>
    <w:link w:val="Style_135_ch"/>
    <w:pPr>
      <w:widowControl w:val="0"/>
      <w:spacing w:after="120" w:before="120"/>
      <w:ind/>
    </w:pPr>
    <w:rPr>
      <w:i w:val="1"/>
    </w:rPr>
  </w:style>
  <w:style w:styleId="Style_135_ch" w:type="character">
    <w:name w:val="Название объекта1"/>
    <w:basedOn w:val="Style_3_ch"/>
    <w:link w:val="Style_135"/>
    <w:rPr>
      <w:i w:val="1"/>
    </w:rPr>
  </w:style>
  <w:style w:styleId="Style_136" w:type="paragraph">
    <w:name w:val="ListLabel 11"/>
    <w:link w:val="Style_136_ch"/>
  </w:style>
  <w:style w:styleId="Style_136_ch" w:type="character">
    <w:name w:val="ListLabel 11"/>
    <w:link w:val="Style_136"/>
  </w:style>
  <w:style w:styleId="Style_137" w:type="paragraph">
    <w:name w:val="ListLabel 89"/>
    <w:link w:val="Style_137_ch"/>
  </w:style>
  <w:style w:styleId="Style_137_ch" w:type="character">
    <w:name w:val="ListLabel 89"/>
    <w:link w:val="Style_137"/>
  </w:style>
  <w:style w:styleId="Style_138" w:type="paragraph">
    <w:name w:val="ListLabel 115"/>
    <w:link w:val="Style_138_ch"/>
  </w:style>
  <w:style w:styleId="Style_138_ch" w:type="character">
    <w:name w:val="ListLabel 115"/>
    <w:link w:val="Style_138"/>
  </w:style>
  <w:style w:styleId="Style_139" w:type="paragraph">
    <w:name w:val="toc 9"/>
    <w:next w:val="Style_3"/>
    <w:link w:val="Style_139_ch"/>
    <w:uiPriority w:val="39"/>
    <w:pPr>
      <w:ind w:firstLine="0" w:left="1600"/>
    </w:pPr>
    <w:rPr>
      <w:rFonts w:ascii="XO Thames" w:hAnsi="XO Thames"/>
      <w:sz w:val="28"/>
    </w:rPr>
  </w:style>
  <w:style w:styleId="Style_139_ch" w:type="character">
    <w:name w:val="toc 9"/>
    <w:link w:val="Style_139"/>
    <w:rPr>
      <w:rFonts w:ascii="XO Thames" w:hAnsi="XO Thames"/>
      <w:sz w:val="28"/>
    </w:rPr>
  </w:style>
  <w:style w:styleId="Style_140" w:type="paragraph">
    <w:name w:val="Гиперссылка1"/>
    <w:basedOn w:val="Style_67"/>
    <w:link w:val="Style_140_ch"/>
    <w:rPr>
      <w:color w:val="0000FF"/>
      <w:u w:val="single"/>
    </w:rPr>
  </w:style>
  <w:style w:styleId="Style_140_ch" w:type="character">
    <w:name w:val="Гиперссылка1"/>
    <w:basedOn w:val="Style_67_ch"/>
    <w:link w:val="Style_140"/>
    <w:rPr>
      <w:color w:val="0000FF"/>
      <w:u w:val="single"/>
    </w:rPr>
  </w:style>
  <w:style w:styleId="Style_141" w:type="paragraph">
    <w:name w:val="List"/>
    <w:basedOn w:val="Style_84"/>
    <w:link w:val="Style_141_ch"/>
  </w:style>
  <w:style w:styleId="Style_141_ch" w:type="character">
    <w:name w:val="List"/>
    <w:basedOn w:val="Style_84_ch"/>
    <w:link w:val="Style_141"/>
  </w:style>
  <w:style w:styleId="Style_142" w:type="paragraph">
    <w:name w:val="WW8Num3z6"/>
    <w:link w:val="Style_142_ch"/>
  </w:style>
  <w:style w:styleId="Style_142_ch" w:type="character">
    <w:name w:val="WW8Num3z6"/>
    <w:link w:val="Style_142"/>
  </w:style>
  <w:style w:styleId="Style_143" w:type="paragraph">
    <w:name w:val="Заголовок таблицы"/>
    <w:basedOn w:val="Style_144"/>
    <w:link w:val="Style_143_ch"/>
    <w:pPr>
      <w:ind/>
      <w:jc w:val="center"/>
    </w:pPr>
    <w:rPr>
      <w:b w:val="1"/>
    </w:rPr>
  </w:style>
  <w:style w:styleId="Style_143_ch" w:type="character">
    <w:name w:val="Заголовок таблицы"/>
    <w:basedOn w:val="Style_144_ch"/>
    <w:link w:val="Style_143"/>
    <w:rPr>
      <w:b w:val="1"/>
    </w:rPr>
  </w:style>
  <w:style w:styleId="Style_145" w:type="paragraph">
    <w:name w:val="ListLabel 107"/>
    <w:link w:val="Style_145_ch"/>
  </w:style>
  <w:style w:styleId="Style_145_ch" w:type="character">
    <w:name w:val="ListLabel 107"/>
    <w:link w:val="Style_145"/>
  </w:style>
  <w:style w:styleId="Style_146" w:type="paragraph">
    <w:name w:val="ListLabel 93"/>
    <w:link w:val="Style_146_ch"/>
  </w:style>
  <w:style w:styleId="Style_146_ch" w:type="character">
    <w:name w:val="ListLabel 93"/>
    <w:link w:val="Style_146"/>
  </w:style>
  <w:style w:styleId="Style_147" w:type="paragraph">
    <w:name w:val="Абзац списка1"/>
    <w:basedOn w:val="Style_2"/>
    <w:link w:val="Style_147_ch"/>
    <w:pPr>
      <w:widowControl w:val="0"/>
      <w:spacing w:after="0" w:line="240" w:lineRule="auto"/>
      <w:ind w:firstLine="0" w:left="720"/>
    </w:pPr>
    <w:rPr>
      <w:rFonts w:ascii="Times New Roman" w:hAnsi="Times New Roman"/>
    </w:rPr>
  </w:style>
  <w:style w:styleId="Style_147_ch" w:type="character">
    <w:name w:val="Абзац списка1"/>
    <w:basedOn w:val="Style_2_ch"/>
    <w:link w:val="Style_147"/>
    <w:rPr>
      <w:rFonts w:ascii="Times New Roman" w:hAnsi="Times New Roman"/>
    </w:rPr>
  </w:style>
  <w:style w:styleId="Style_148" w:type="paragraph">
    <w:name w:val="WW8Num3z4"/>
    <w:link w:val="Style_148_ch"/>
  </w:style>
  <w:style w:styleId="Style_148_ch" w:type="character">
    <w:name w:val="WW8Num3z4"/>
    <w:link w:val="Style_148"/>
  </w:style>
  <w:style w:styleId="Style_149" w:type="paragraph">
    <w:name w:val="ListLabel 52"/>
    <w:link w:val="Style_149_ch"/>
  </w:style>
  <w:style w:styleId="Style_149_ch" w:type="character">
    <w:name w:val="ListLabel 52"/>
    <w:link w:val="Style_149"/>
  </w:style>
  <w:style w:styleId="Style_150" w:type="paragraph">
    <w:name w:val="WW8Num2z6"/>
    <w:link w:val="Style_150_ch"/>
  </w:style>
  <w:style w:styleId="Style_150_ch" w:type="character">
    <w:name w:val="WW8Num2z6"/>
    <w:link w:val="Style_150"/>
  </w:style>
  <w:style w:styleId="Style_151" w:type="paragraph">
    <w:name w:val="ListLabel 3"/>
    <w:link w:val="Style_151_ch"/>
  </w:style>
  <w:style w:styleId="Style_151_ch" w:type="character">
    <w:name w:val="ListLabel 3"/>
    <w:link w:val="Style_151"/>
  </w:style>
  <w:style w:styleId="Style_152" w:type="paragraph">
    <w:name w:val="WW8Num1z1"/>
    <w:link w:val="Style_152_ch"/>
    <w:rPr>
      <w:rFonts w:ascii="Courier New" w:hAnsi="Courier New"/>
    </w:rPr>
  </w:style>
  <w:style w:styleId="Style_152_ch" w:type="character">
    <w:name w:val="WW8Num1z1"/>
    <w:link w:val="Style_152"/>
    <w:rPr>
      <w:rFonts w:ascii="Courier New" w:hAnsi="Courier New"/>
    </w:rPr>
  </w:style>
  <w:style w:styleId="Style_153" w:type="paragraph">
    <w:name w:val="Основной шрифт абзаца1"/>
    <w:link w:val="Style_153_ch"/>
  </w:style>
  <w:style w:styleId="Style_153_ch" w:type="character">
    <w:name w:val="Основной шрифт абзаца1"/>
    <w:link w:val="Style_153"/>
  </w:style>
  <w:style w:styleId="Style_154" w:type="paragraph">
    <w:name w:val="WW8Num2z2"/>
    <w:link w:val="Style_154_ch"/>
  </w:style>
  <w:style w:styleId="Style_154_ch" w:type="character">
    <w:name w:val="WW8Num2z2"/>
    <w:link w:val="Style_154"/>
  </w:style>
  <w:style w:styleId="Style_155" w:type="paragraph">
    <w:name w:val="toc 8"/>
    <w:next w:val="Style_3"/>
    <w:link w:val="Style_155_ch"/>
    <w:uiPriority w:val="39"/>
    <w:pPr>
      <w:ind w:firstLine="0" w:left="1400"/>
    </w:pPr>
    <w:rPr>
      <w:rFonts w:ascii="XO Thames" w:hAnsi="XO Thames"/>
      <w:sz w:val="28"/>
    </w:rPr>
  </w:style>
  <w:style w:styleId="Style_155_ch" w:type="character">
    <w:name w:val="toc 8"/>
    <w:link w:val="Style_155"/>
    <w:rPr>
      <w:rFonts w:ascii="XO Thames" w:hAnsi="XO Thames"/>
      <w:sz w:val="28"/>
    </w:rPr>
  </w:style>
  <w:style w:styleId="Style_156" w:type="paragraph">
    <w:name w:val="ListLabel 118"/>
    <w:link w:val="Style_156_ch"/>
  </w:style>
  <w:style w:styleId="Style_156_ch" w:type="character">
    <w:name w:val="ListLabel 118"/>
    <w:link w:val="Style_156"/>
  </w:style>
  <w:style w:styleId="Style_157" w:type="paragraph">
    <w:name w:val="ListLabel 19"/>
    <w:link w:val="Style_157_ch"/>
  </w:style>
  <w:style w:styleId="Style_157_ch" w:type="character">
    <w:name w:val="ListLabel 19"/>
    <w:link w:val="Style_157"/>
  </w:style>
  <w:style w:styleId="Style_158" w:type="paragraph">
    <w:name w:val="ListLabel 43"/>
    <w:link w:val="Style_158_ch"/>
  </w:style>
  <w:style w:styleId="Style_158_ch" w:type="character">
    <w:name w:val="ListLabel 43"/>
    <w:link w:val="Style_158"/>
  </w:style>
  <w:style w:styleId="Style_159" w:type="paragraph">
    <w:name w:val="ListLabel 2"/>
    <w:link w:val="Style_159_ch"/>
  </w:style>
  <w:style w:styleId="Style_159_ch" w:type="character">
    <w:name w:val="ListLabel 2"/>
    <w:link w:val="Style_159"/>
  </w:style>
  <w:style w:styleId="Style_2" w:type="paragraph">
    <w:name w:val="Обычный1"/>
    <w:link w:val="Style_2_ch"/>
    <w:pPr>
      <w:spacing w:after="200" w:line="276" w:lineRule="auto"/>
      <w:ind/>
    </w:pPr>
    <w:rPr>
      <w:rFonts w:ascii="Calibri" w:hAnsi="Calibri"/>
      <w:sz w:val="24"/>
    </w:rPr>
  </w:style>
  <w:style w:styleId="Style_2_ch" w:type="character">
    <w:name w:val="Обычный1"/>
    <w:link w:val="Style_2"/>
    <w:rPr>
      <w:rFonts w:ascii="Calibri" w:hAnsi="Calibri"/>
      <w:sz w:val="24"/>
    </w:rPr>
  </w:style>
  <w:style w:styleId="Style_160" w:type="paragraph">
    <w:name w:val="ListLabel 35"/>
    <w:link w:val="Style_160_ch"/>
  </w:style>
  <w:style w:styleId="Style_160_ch" w:type="character">
    <w:name w:val="ListLabel 35"/>
    <w:link w:val="Style_160"/>
  </w:style>
  <w:style w:styleId="Style_144" w:type="paragraph">
    <w:name w:val="Содержимое таблицы"/>
    <w:basedOn w:val="Style_3"/>
    <w:link w:val="Style_144_ch"/>
  </w:style>
  <w:style w:styleId="Style_144_ch" w:type="character">
    <w:name w:val="Содержимое таблицы"/>
    <w:basedOn w:val="Style_3_ch"/>
    <w:link w:val="Style_144"/>
  </w:style>
  <w:style w:styleId="Style_161" w:type="paragraph">
    <w:name w:val="ListLabel 75"/>
    <w:link w:val="Style_161_ch"/>
  </w:style>
  <w:style w:styleId="Style_161_ch" w:type="character">
    <w:name w:val="ListLabel 75"/>
    <w:link w:val="Style_161"/>
  </w:style>
  <w:style w:styleId="Style_162" w:type="paragraph">
    <w:name w:val="ListLabel 87"/>
    <w:link w:val="Style_162_ch"/>
  </w:style>
  <w:style w:styleId="Style_162_ch" w:type="character">
    <w:name w:val="ListLabel 87"/>
    <w:link w:val="Style_162"/>
  </w:style>
  <w:style w:styleId="Style_163" w:type="paragraph">
    <w:name w:val="Знак"/>
    <w:basedOn w:val="Style_2"/>
    <w:link w:val="Style_163_ch"/>
    <w:pPr>
      <w:spacing w:after="160" w:line="240" w:lineRule="exact"/>
      <w:ind/>
    </w:pPr>
    <w:rPr>
      <w:rFonts w:ascii="Verdana" w:hAnsi="Verdana"/>
      <w:sz w:val="20"/>
    </w:rPr>
  </w:style>
  <w:style w:styleId="Style_163_ch" w:type="character">
    <w:name w:val="Знак"/>
    <w:basedOn w:val="Style_2_ch"/>
    <w:link w:val="Style_163"/>
    <w:rPr>
      <w:rFonts w:ascii="Verdana" w:hAnsi="Verdana"/>
      <w:sz w:val="20"/>
    </w:rPr>
  </w:style>
  <w:style w:styleId="Style_164" w:type="paragraph">
    <w:name w:val="ListLabel 22"/>
    <w:link w:val="Style_164_ch"/>
  </w:style>
  <w:style w:styleId="Style_164_ch" w:type="character">
    <w:name w:val="ListLabel 22"/>
    <w:link w:val="Style_164"/>
  </w:style>
  <w:style w:styleId="Style_165" w:type="paragraph">
    <w:name w:val="caption"/>
    <w:basedOn w:val="Style_3"/>
    <w:link w:val="Style_165_ch"/>
    <w:pPr>
      <w:spacing w:after="120" w:before="120"/>
      <w:ind/>
    </w:pPr>
    <w:rPr>
      <w:i w:val="1"/>
      <w:sz w:val="24"/>
    </w:rPr>
  </w:style>
  <w:style w:styleId="Style_165_ch" w:type="character">
    <w:name w:val="caption"/>
    <w:basedOn w:val="Style_3_ch"/>
    <w:link w:val="Style_165"/>
    <w:rPr>
      <w:i w:val="1"/>
      <w:sz w:val="24"/>
    </w:rPr>
  </w:style>
  <w:style w:styleId="Style_166" w:type="paragraph">
    <w:name w:val="toc 5"/>
    <w:next w:val="Style_3"/>
    <w:link w:val="Style_166_ch"/>
    <w:uiPriority w:val="39"/>
    <w:pPr>
      <w:ind w:firstLine="0" w:left="800"/>
    </w:pPr>
    <w:rPr>
      <w:rFonts w:ascii="XO Thames" w:hAnsi="XO Thames"/>
      <w:sz w:val="28"/>
    </w:rPr>
  </w:style>
  <w:style w:styleId="Style_166_ch" w:type="character">
    <w:name w:val="toc 5"/>
    <w:link w:val="Style_166"/>
    <w:rPr>
      <w:rFonts w:ascii="XO Thames" w:hAnsi="XO Thames"/>
      <w:sz w:val="28"/>
    </w:rPr>
  </w:style>
  <w:style w:styleId="Style_67" w:type="paragraph">
    <w:name w:val="Default Paragraph Font_0"/>
    <w:link w:val="Style_67_ch"/>
  </w:style>
  <w:style w:styleId="Style_67_ch" w:type="character">
    <w:name w:val="Default Paragraph Font_0"/>
    <w:link w:val="Style_67"/>
  </w:style>
  <w:style w:styleId="Style_167" w:type="paragraph">
    <w:name w:val="ListLabel 63"/>
    <w:link w:val="Style_167_ch"/>
  </w:style>
  <w:style w:styleId="Style_167_ch" w:type="character">
    <w:name w:val="ListLabel 63"/>
    <w:link w:val="Style_167"/>
  </w:style>
  <w:style w:styleId="Style_168" w:type="paragraph">
    <w:name w:val="WW8Num3z1"/>
    <w:link w:val="Style_168_ch"/>
  </w:style>
  <w:style w:styleId="Style_168_ch" w:type="character">
    <w:name w:val="WW8Num3z1"/>
    <w:link w:val="Style_168"/>
  </w:style>
  <w:style w:styleId="Style_169" w:type="paragraph">
    <w:name w:val="ListLabel 92"/>
    <w:link w:val="Style_169_ch"/>
    <w:rPr>
      <w:color w:val="00000A"/>
      <w:sz w:val="28"/>
    </w:rPr>
  </w:style>
  <w:style w:styleId="Style_169_ch" w:type="character">
    <w:name w:val="ListLabel 92"/>
    <w:link w:val="Style_169"/>
    <w:rPr>
      <w:color w:val="00000A"/>
      <w:sz w:val="28"/>
    </w:rPr>
  </w:style>
  <w:style w:styleId="Style_170" w:type="paragraph">
    <w:name w:val="WW8Num3z2"/>
    <w:link w:val="Style_170_ch"/>
  </w:style>
  <w:style w:styleId="Style_170_ch" w:type="character">
    <w:name w:val="WW8Num3z2"/>
    <w:link w:val="Style_170"/>
  </w:style>
  <w:style w:styleId="Style_171" w:type="paragraph">
    <w:name w:val="ConsPlusTitle"/>
    <w:link w:val="Style_171_ch"/>
    <w:rPr>
      <w:rFonts w:ascii="Calibri" w:hAnsi="Calibri"/>
      <w:b w:val="1"/>
      <w:sz w:val="24"/>
    </w:rPr>
  </w:style>
  <w:style w:styleId="Style_171_ch" w:type="character">
    <w:name w:val="ConsPlusTitle"/>
    <w:link w:val="Style_171"/>
    <w:rPr>
      <w:rFonts w:ascii="Calibri" w:hAnsi="Calibri"/>
      <w:b w:val="1"/>
      <w:sz w:val="24"/>
    </w:rPr>
  </w:style>
  <w:style w:styleId="Style_172" w:type="paragraph">
    <w:name w:val="ListLabel 78"/>
    <w:link w:val="Style_172_ch"/>
  </w:style>
  <w:style w:styleId="Style_172_ch" w:type="character">
    <w:name w:val="ListLabel 78"/>
    <w:link w:val="Style_172"/>
  </w:style>
  <w:style w:styleId="Style_173" w:type="paragraph">
    <w:name w:val="Default Paragraph Font"/>
    <w:link w:val="Style_173_ch"/>
  </w:style>
  <w:style w:styleId="Style_173_ch" w:type="character">
    <w:name w:val="Default Paragraph Font"/>
    <w:link w:val="Style_173"/>
  </w:style>
  <w:style w:styleId="Style_174" w:type="paragraph">
    <w:name w:val="ListLabel 28"/>
    <w:link w:val="Style_174_ch"/>
    <w:rPr>
      <w:sz w:val="28"/>
    </w:rPr>
  </w:style>
  <w:style w:styleId="Style_174_ch" w:type="character">
    <w:name w:val="ListLabel 28"/>
    <w:link w:val="Style_174"/>
    <w:rPr>
      <w:sz w:val="28"/>
    </w:rPr>
  </w:style>
  <w:style w:styleId="Style_175" w:type="paragraph">
    <w:name w:val="ListLabel 103"/>
    <w:link w:val="Style_175_ch"/>
  </w:style>
  <w:style w:styleId="Style_175_ch" w:type="character">
    <w:name w:val="ListLabel 103"/>
    <w:link w:val="Style_175"/>
  </w:style>
  <w:style w:styleId="Style_176" w:type="paragraph">
    <w:name w:val="ListLabel 66"/>
    <w:link w:val="Style_176_ch"/>
  </w:style>
  <w:style w:styleId="Style_176_ch" w:type="character">
    <w:name w:val="ListLabel 66"/>
    <w:link w:val="Style_176"/>
  </w:style>
  <w:style w:styleId="Style_177" w:type="paragraph">
    <w:name w:val="Default"/>
    <w:link w:val="Style_177_ch"/>
    <w:rPr>
      <w:rFonts w:ascii="Calibri" w:hAnsi="Calibri"/>
      <w:sz w:val="24"/>
    </w:rPr>
  </w:style>
  <w:style w:styleId="Style_177_ch" w:type="character">
    <w:name w:val="Default"/>
    <w:link w:val="Style_177"/>
    <w:rPr>
      <w:rFonts w:ascii="Calibri" w:hAnsi="Calibri"/>
      <w:sz w:val="24"/>
    </w:rPr>
  </w:style>
  <w:style w:styleId="Style_84" w:type="paragraph">
    <w:name w:val="Body Text"/>
    <w:basedOn w:val="Style_3"/>
    <w:link w:val="Style_84_ch"/>
    <w:pPr>
      <w:widowControl w:val="0"/>
      <w:spacing w:after="140"/>
      <w:ind/>
    </w:pPr>
  </w:style>
  <w:style w:styleId="Style_84_ch" w:type="character">
    <w:name w:val="Body Text"/>
    <w:basedOn w:val="Style_3_ch"/>
    <w:link w:val="Style_84"/>
  </w:style>
  <w:style w:styleId="Style_178" w:type="paragraph">
    <w:name w:val="Основной текст 32"/>
    <w:basedOn w:val="Style_2"/>
    <w:link w:val="Style_178_ch"/>
    <w:pPr>
      <w:tabs>
        <w:tab w:leader="none" w:pos="6840" w:val="left"/>
      </w:tabs>
      <w:spacing w:after="0" w:line="240" w:lineRule="auto"/>
      <w:ind/>
    </w:pPr>
    <w:rPr>
      <w:rFonts w:ascii="Times New Roman" w:hAnsi="Times New Roman"/>
      <w:sz w:val="28"/>
    </w:rPr>
  </w:style>
  <w:style w:styleId="Style_178_ch" w:type="character">
    <w:name w:val="Основной текст 32"/>
    <w:basedOn w:val="Style_2_ch"/>
    <w:link w:val="Style_178"/>
    <w:rPr>
      <w:rFonts w:ascii="Times New Roman" w:hAnsi="Times New Roman"/>
      <w:sz w:val="28"/>
    </w:rPr>
  </w:style>
  <w:style w:styleId="Style_179" w:type="paragraph">
    <w:name w:val="ListLabel 91"/>
    <w:link w:val="Style_179_ch"/>
  </w:style>
  <w:style w:styleId="Style_179_ch" w:type="character">
    <w:name w:val="ListLabel 91"/>
    <w:link w:val="Style_179"/>
  </w:style>
  <w:style w:styleId="Style_180" w:type="paragraph">
    <w:name w:val="ListLabel 45"/>
    <w:link w:val="Style_180_ch"/>
  </w:style>
  <w:style w:styleId="Style_180_ch" w:type="character">
    <w:name w:val="ListLabel 45"/>
    <w:link w:val="Style_180"/>
  </w:style>
  <w:style w:styleId="Style_181" w:type="paragraph">
    <w:name w:val="ListLabel 36"/>
    <w:link w:val="Style_181_ch"/>
  </w:style>
  <w:style w:styleId="Style_181_ch" w:type="character">
    <w:name w:val="ListLabel 36"/>
    <w:link w:val="Style_181"/>
  </w:style>
  <w:style w:styleId="Style_182" w:type="paragraph">
    <w:name w:val="ListLabel 65"/>
    <w:link w:val="Style_182_ch"/>
  </w:style>
  <w:style w:styleId="Style_182_ch" w:type="character">
    <w:name w:val="ListLabel 65"/>
    <w:link w:val="Style_182"/>
  </w:style>
  <w:style w:styleId="Style_183" w:type="paragraph">
    <w:name w:val="ListLabel 111"/>
    <w:link w:val="Style_183_ch"/>
  </w:style>
  <w:style w:styleId="Style_183_ch" w:type="character">
    <w:name w:val="ListLabel 111"/>
    <w:link w:val="Style_183"/>
  </w:style>
  <w:style w:styleId="Style_184" w:type="paragraph">
    <w:name w:val="ListLabel 96"/>
    <w:link w:val="Style_184_ch"/>
  </w:style>
  <w:style w:styleId="Style_184_ch" w:type="character">
    <w:name w:val="ListLabel 96"/>
    <w:link w:val="Style_184"/>
  </w:style>
  <w:style w:styleId="Style_185" w:type="paragraph">
    <w:name w:val="ListLabel 61"/>
    <w:link w:val="Style_185_ch"/>
  </w:style>
  <w:style w:styleId="Style_185_ch" w:type="character">
    <w:name w:val="ListLabel 61"/>
    <w:link w:val="Style_185"/>
  </w:style>
  <w:style w:styleId="Style_186" w:type="paragraph">
    <w:name w:val="ListLabel 60"/>
    <w:link w:val="Style_186_ch"/>
  </w:style>
  <w:style w:styleId="Style_186_ch" w:type="character">
    <w:name w:val="ListLabel 60"/>
    <w:link w:val="Style_186"/>
  </w:style>
  <w:style w:styleId="Style_187" w:type="paragraph">
    <w:name w:val="Subtitle"/>
    <w:next w:val="Style_3"/>
    <w:link w:val="Style_18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7_ch" w:type="character">
    <w:name w:val="Subtitle"/>
    <w:link w:val="Style_187"/>
    <w:rPr>
      <w:rFonts w:ascii="XO Thames" w:hAnsi="XO Thames"/>
      <w:i w:val="1"/>
      <w:sz w:val="24"/>
    </w:rPr>
  </w:style>
  <w:style w:styleId="Style_188" w:type="paragraph">
    <w:name w:val="ListLabel 68"/>
    <w:link w:val="Style_188_ch"/>
  </w:style>
  <w:style w:styleId="Style_188_ch" w:type="character">
    <w:name w:val="ListLabel 68"/>
    <w:link w:val="Style_188"/>
  </w:style>
  <w:style w:styleId="Style_189" w:type="paragraph">
    <w:name w:val="Заголовок 3 Знак"/>
    <w:basedOn w:val="Style_67"/>
    <w:link w:val="Style_189_ch"/>
    <w:rPr>
      <w:b w:val="1"/>
      <w:sz w:val="27"/>
    </w:rPr>
  </w:style>
  <w:style w:styleId="Style_189_ch" w:type="character">
    <w:name w:val="Заголовок 3 Знак"/>
    <w:basedOn w:val="Style_67_ch"/>
    <w:link w:val="Style_189"/>
    <w:rPr>
      <w:b w:val="1"/>
      <w:sz w:val="27"/>
    </w:rPr>
  </w:style>
  <w:style w:styleId="Style_190" w:type="paragraph">
    <w:name w:val="Title"/>
    <w:next w:val="Style_3"/>
    <w:link w:val="Style_19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0_ch" w:type="character">
    <w:name w:val="Title"/>
    <w:link w:val="Style_190"/>
    <w:rPr>
      <w:rFonts w:ascii="XO Thames" w:hAnsi="XO Thames"/>
      <w:b w:val="1"/>
      <w:caps w:val="1"/>
      <w:sz w:val="40"/>
    </w:rPr>
  </w:style>
  <w:style w:styleId="Style_191" w:type="paragraph">
    <w:name w:val="Standard"/>
    <w:link w:val="Style_191_ch"/>
    <w:pPr>
      <w:spacing w:after="200" w:line="276" w:lineRule="auto"/>
      <w:ind/>
    </w:pPr>
    <w:rPr>
      <w:rFonts w:ascii="Calibri" w:hAnsi="Calibri"/>
      <w:sz w:val="24"/>
    </w:rPr>
  </w:style>
  <w:style w:styleId="Style_191_ch" w:type="character">
    <w:name w:val="Standard"/>
    <w:link w:val="Style_191"/>
    <w:rPr>
      <w:rFonts w:ascii="Calibri" w:hAnsi="Calibri"/>
      <w:sz w:val="24"/>
    </w:rPr>
  </w:style>
  <w:style w:styleId="Style_192" w:type="paragraph">
    <w:name w:val="heading 4"/>
    <w:next w:val="Style_3"/>
    <w:link w:val="Style_19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92_ch" w:type="character">
    <w:name w:val="heading 4"/>
    <w:link w:val="Style_192"/>
    <w:rPr>
      <w:rFonts w:ascii="XO Thames" w:hAnsi="XO Thames"/>
      <w:b w:val="1"/>
      <w:sz w:val="24"/>
    </w:rPr>
  </w:style>
  <w:style w:styleId="Style_193" w:type="paragraph">
    <w:name w:val="Основной текст Знак"/>
    <w:link w:val="Style_193_ch"/>
    <w:rPr>
      <w:rFonts w:ascii="Calibri" w:hAnsi="Calibri"/>
      <w:sz w:val="22"/>
    </w:rPr>
  </w:style>
  <w:style w:styleId="Style_193_ch" w:type="character">
    <w:name w:val="Основной текст Знак"/>
    <w:link w:val="Style_193"/>
    <w:rPr>
      <w:rFonts w:ascii="Calibri" w:hAnsi="Calibri"/>
      <w:sz w:val="22"/>
    </w:rPr>
  </w:style>
  <w:style w:styleId="Style_194" w:type="paragraph">
    <w:name w:val="ListLabel 6"/>
    <w:link w:val="Style_194_ch"/>
  </w:style>
  <w:style w:styleId="Style_194_ch" w:type="character">
    <w:name w:val="ListLabel 6"/>
    <w:link w:val="Style_194"/>
  </w:style>
  <w:style w:styleId="Style_195" w:type="paragraph">
    <w:name w:val="Заголовок 31"/>
    <w:basedOn w:val="Style_3"/>
    <w:link w:val="Style_195_ch"/>
    <w:pPr>
      <w:widowControl w:val="0"/>
      <w:spacing w:after="280" w:before="280"/>
      <w:ind/>
    </w:pPr>
    <w:rPr>
      <w:rFonts w:ascii="Times New Roman" w:hAnsi="Times New Roman"/>
      <w:b w:val="1"/>
      <w:sz w:val="27"/>
    </w:rPr>
  </w:style>
  <w:style w:styleId="Style_195_ch" w:type="character">
    <w:name w:val="Заголовок 31"/>
    <w:basedOn w:val="Style_3_ch"/>
    <w:link w:val="Style_195"/>
    <w:rPr>
      <w:rFonts w:ascii="Times New Roman" w:hAnsi="Times New Roman"/>
      <w:b w:val="1"/>
      <w:sz w:val="27"/>
    </w:rPr>
  </w:style>
  <w:style w:styleId="Style_196" w:type="paragraph">
    <w:name w:val="ListLabel 49"/>
    <w:link w:val="Style_196_ch"/>
  </w:style>
  <w:style w:styleId="Style_196_ch" w:type="character">
    <w:name w:val="ListLabel 49"/>
    <w:link w:val="Style_196"/>
  </w:style>
  <w:style w:styleId="Style_197" w:type="paragraph">
    <w:name w:val="heading 2"/>
    <w:next w:val="Style_3"/>
    <w:link w:val="Style_19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97_ch" w:type="character">
    <w:name w:val="heading 2"/>
    <w:link w:val="Style_197"/>
    <w:rPr>
      <w:rFonts w:ascii="XO Thames" w:hAnsi="XO Thames"/>
      <w:b w:val="1"/>
      <w:sz w:val="28"/>
    </w:rPr>
  </w:style>
  <w:style w:styleId="Style_198" w:type="paragraph">
    <w:name w:val="Текст выноски Знак"/>
    <w:basedOn w:val="Style_67"/>
    <w:link w:val="Style_198_ch"/>
    <w:rPr>
      <w:rFonts w:ascii="Tahoma" w:hAnsi="Tahoma"/>
      <w:sz w:val="16"/>
    </w:rPr>
  </w:style>
  <w:style w:styleId="Style_198_ch" w:type="character">
    <w:name w:val="Текст выноски Знак"/>
    <w:basedOn w:val="Style_67_ch"/>
    <w:link w:val="Style_198"/>
    <w:rPr>
      <w:rFonts w:ascii="Tahoma" w:hAnsi="Tahoma"/>
      <w:sz w:val="16"/>
    </w:rPr>
  </w:style>
  <w:style w:styleId="Style_199" w:type="paragraph">
    <w:name w:val="ListLabel 88"/>
    <w:link w:val="Style_199_ch"/>
  </w:style>
  <w:style w:styleId="Style_199_ch" w:type="character">
    <w:name w:val="ListLabel 88"/>
    <w:link w:val="Style_199"/>
  </w:style>
  <w:style w:styleId="Style_200" w:type="paragraph">
    <w:name w:val="ListLabel 39"/>
    <w:link w:val="Style_200_ch"/>
  </w:style>
  <w:style w:styleId="Style_200_ch" w:type="character">
    <w:name w:val="ListLabel 39"/>
    <w:link w:val="Style_200"/>
  </w:style>
  <w:style w:styleId="Style_201" w:type="paragraph">
    <w:name w:val="ListLabel 17"/>
    <w:link w:val="Style_201_ch"/>
  </w:style>
  <w:style w:styleId="Style_201_ch" w:type="character">
    <w:name w:val="ListLabel 17"/>
    <w:link w:val="Style_201"/>
  </w:style>
  <w:style w:styleId="Style_202" w:type="paragraph">
    <w:name w:val="Указатель1"/>
    <w:basedOn w:val="Style_3"/>
    <w:link w:val="Style_202_ch"/>
  </w:style>
  <w:style w:styleId="Style_202_ch" w:type="character">
    <w:name w:val="Указатель1"/>
    <w:basedOn w:val="Style_3_ch"/>
    <w:link w:val="Style_202"/>
  </w:style>
  <w:style w:styleId="Style_203" w:type="paragraph">
    <w:name w:val="ListLabel 20"/>
    <w:link w:val="Style_203_ch"/>
  </w:style>
  <w:style w:styleId="Style_203_ch" w:type="character">
    <w:name w:val="ListLabel 20"/>
    <w:link w:val="Style_203"/>
  </w:style>
  <w:style w:styleId="Style_204" w:type="paragraph">
    <w:name w:val="ListLabel 109"/>
    <w:link w:val="Style_204_ch"/>
  </w:style>
  <w:style w:styleId="Style_204_ch" w:type="character">
    <w:name w:val="ListLabel 109"/>
    <w:link w:val="Style_204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2023-04-24T10:59:58Z</dcterms:modified>
</cp:coreProperties>
</file>