
<file path=[Content_Types].xml><?xml version="1.0" encoding="utf-8"?>
<Types xmlns="http://schemas.openxmlformats.org/package/2006/content-types">
  <Default ContentType="image/jpeg" Extension="jpeg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2.xml"/>
  <Override ContentType="application/vnd.openxmlformats-officedocument.wordprocessingml.header+xml" PartName="/word/header1.xml"/>
  <Override ContentType="application/vnd.openxmlformats-officedocument.wordprocessingml.header+xml" PartName="/word/header3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4000000">
      <w:pPr>
        <w:spacing w:after="203"/>
        <w:ind w:hanging="10" w:left="-569"/>
        <w:jc w:val="center"/>
        <w:rPr>
          <w:color w:val="000000"/>
        </w:rPr>
      </w:pPr>
      <w:r>
        <w:drawing>
          <wp:inline>
            <wp:extent cx="541528" cy="563753"/>
            <wp:effectExtent b="0" l="0" r="0" t="0"/>
            <wp:docPr hidden="false" id="2" name="Picture 2"/>
            <a:graphic>
              <a:graphicData uri="http://schemas.openxmlformats.org/drawingml/2006/picture">
                <pic:pic>
                  <pic:nvPicPr>
                    <pic:cNvPr hidden="false" id="1" name="Picture 1"/>
                    <pic:cNvPicPr preferRelativeResize="true"/>
                  </pic:nvPicPr>
                  <pic:blipFill>
                    <a:blip r:embed="rId4"/>
                    <a:srcRect b="-124" l="-148" r="-148" t="-124"/>
                    <a:stretch/>
                  </pic:blipFill>
                  <pic:spPr>
                    <a:xfrm flipH="false" flipV="false" rot="0">
                      <a:ext cx="541528" cy="563753"/>
                    </a:xfrm>
                    <a:prstGeom prst="rect"/>
                  </pic:spPr>
                </pic:pic>
              </a:graphicData>
            </a:graphic>
          </wp:inline>
        </w:drawing>
      </w:r>
    </w:p>
    <w:p w14:paraId="05000000">
      <w:pPr>
        <w:ind/>
        <w:jc w:val="center"/>
        <w:rPr>
          <w:rFonts w:ascii="Arial" w:hAnsi="Arial"/>
          <w:b w:val="1"/>
        </w:rPr>
      </w:pPr>
    </w:p>
    <w:p w14:paraId="06000000">
      <w:pPr>
        <w:ind/>
        <w:jc w:val="center"/>
        <w:rPr>
          <w:rFonts w:ascii="Arial" w:hAnsi="Arial"/>
          <w:b w:val="1"/>
        </w:rPr>
      </w:pPr>
    </w:p>
    <w:p w14:paraId="07000000">
      <w:pPr>
        <w:ind/>
        <w:jc w:val="center"/>
        <w:rPr>
          <w:rFonts w:ascii="Arial" w:hAnsi="Arial"/>
          <w:b w:val="1"/>
        </w:rPr>
      </w:pPr>
      <w:r>
        <w:rPr>
          <w:rFonts w:ascii="Arial" w:hAnsi="Arial"/>
          <w:b w:val="1"/>
          <w:sz w:val="32"/>
        </w:rPr>
        <w:t>АДМИНИСТРАЦИЯ ГОРОДА ДОНЕЦКА</w:t>
      </w:r>
      <w:r>
        <w:rPr>
          <w:rFonts w:ascii="Arial" w:hAnsi="Arial"/>
          <w:b w:val="1"/>
          <w:sz w:val="32"/>
        </w:rPr>
        <w:br/>
      </w:r>
    </w:p>
    <w:p w14:paraId="08000000">
      <w:pPr>
        <w:ind/>
        <w:jc w:val="center"/>
        <w:rPr>
          <w:rFonts w:ascii="Arial" w:hAnsi="Arial"/>
          <w:b w:val="1"/>
        </w:rPr>
      </w:pPr>
      <w:r>
        <w:rPr>
          <w:rFonts w:ascii="Arial" w:hAnsi="Arial"/>
          <w:b w:val="1"/>
        </w:rPr>
        <w:t>ПОСТАНОВЛЕНИЕ</w:t>
      </w:r>
    </w:p>
    <w:p w14:paraId="09000000">
      <w:pPr>
        <w:spacing w:after="240"/>
        <w:ind/>
        <w:jc w:val="left"/>
      </w:pPr>
      <w:r>
        <w:t xml:space="preserve">                                                                                     </w:t>
      </w:r>
    </w:p>
    <w:p w14:paraId="0A000000">
      <w:pPr>
        <w:spacing w:after="240"/>
        <w:ind/>
        <w:jc w:val="left"/>
      </w:pPr>
      <w:r>
        <w:t xml:space="preserve">   от 23.08.2022  № 827</w:t>
      </w:r>
    </w:p>
    <w:tbl>
      <w:tblPr>
        <w:tblStyle w:val="Style_1"/>
        <w:tblInd w:type="dxa" w:w="-34"/>
        <w:tblLayout w:type="fixed"/>
      </w:tblPr>
      <w:tblGrid>
        <w:gridCol w:w="6379"/>
        <w:gridCol w:w="3111"/>
      </w:tblGrid>
      <w:tr>
        <w:trPr>
          <w:trHeight w:hRule="atLeast" w:val="2969"/>
        </w:trPr>
        <w:tc>
          <w:tcPr>
            <w:tcW w:type="dxa" w:w="6379"/>
          </w:tcPr>
          <w:p w14:paraId="0B000000">
            <w:pPr>
              <w:spacing w:after="0"/>
              <w:ind w:hanging="34" w:left="176" w:right="514"/>
              <w:jc w:val="both"/>
              <w:rPr>
                <w:sz w:val="28"/>
              </w:rPr>
            </w:pPr>
            <w:r>
              <w:rPr>
                <w:sz w:val="28"/>
              </w:rPr>
              <w:t xml:space="preserve">Об утверждении </w:t>
            </w:r>
            <w:r>
              <w:rPr>
                <w:color w:val="000000"/>
                <w:sz w:val="28"/>
              </w:rPr>
              <w:t xml:space="preserve">Положения </w:t>
            </w:r>
            <w:r>
              <w:rPr>
                <w:color w:val="000000"/>
                <w:sz w:val="28"/>
              </w:rPr>
              <w:t xml:space="preserve">об условиях и порядке оказания поддержки субъектам малого и среднего предпринимательства и организациям, образующим </w:t>
            </w:r>
            <w:r>
              <w:rPr>
                <w:color w:val="000000"/>
                <w:sz w:val="28"/>
              </w:rPr>
              <w:t xml:space="preserve"> ин</w:t>
            </w:r>
            <w:r>
              <w:rPr>
                <w:color w:val="000000"/>
                <w:sz w:val="28"/>
              </w:rPr>
              <w:t>фраструктуру поддержки субъектов малого и среднего предпринимательства, на территории муниципального образования «Город Донецк»</w:t>
            </w:r>
          </w:p>
        </w:tc>
        <w:tc>
          <w:tcPr>
            <w:tcW w:type="dxa" w:w="3111"/>
          </w:tcPr>
          <w:p w14:paraId="0C000000">
            <w:r>
              <w:t xml:space="preserve">       </w:t>
            </w:r>
          </w:p>
        </w:tc>
      </w:tr>
    </w:tbl>
    <w:p w14:paraId="0D000000">
      <w:pPr>
        <w:spacing w:after="217"/>
        <w:ind w:firstLine="610" w:left="76" w:right="129"/>
        <w:rPr>
          <w:color w:val="000000"/>
        </w:rPr>
      </w:pPr>
      <w:r>
        <w:rPr>
          <w:i w:val="1"/>
          <w:color w:val="00B050"/>
          <w:sz w:val="24"/>
        </w:rPr>
        <w:t>(в редакции постановления Администрации города Донецка от 27.02.2023 № 250)</w:t>
      </w:r>
    </w:p>
    <w:p w14:paraId="0E000000">
      <w:pPr>
        <w:spacing w:after="217"/>
        <w:ind w:firstLine="610" w:left="76" w:right="129"/>
        <w:rPr>
          <w:color w:val="000000"/>
        </w:rPr>
      </w:pPr>
      <w:r>
        <w:rPr>
          <w:color w:val="000000"/>
        </w:rPr>
        <w:t xml:space="preserve">В соответствии со статьей 16 Федерального закона от 24.07.2007 № 209-ФЗ «О развитии малого и среднего предпринимательства в Российской Федерации», пунктом 33 части 1 статьи 16 </w:t>
      </w:r>
      <w:r>
        <w:rPr>
          <w:color w:val="000000"/>
        </w:rPr>
        <w:t xml:space="preserve">Федерального закона от 06.10.2003 № 131-ФЗ «Об общих принципах организации местного самоуправления в Российской Федерации», </w:t>
      </w:r>
      <w:r>
        <w:rPr>
          <w:color w:val="000000"/>
        </w:rPr>
        <w:t xml:space="preserve">в целях реализации государственной политики, направленной на поддержку и развитие малого и среднего предпринимательства на территории муниципального образования «Город Донецк» и </w:t>
      </w:r>
      <w:r>
        <w:rPr>
          <w:color w:val="000000"/>
        </w:rPr>
        <w:t xml:space="preserve"> муниципальной программой муниципального образования «Город Донецк» «Экономическое развитие и инновационная экономика», утвержденной </w:t>
      </w:r>
      <w:r>
        <w:rPr>
          <w:color w:val="000000"/>
        </w:rPr>
        <w:t>постановлением Администрации города Донецка от 18.12.2018 № 89</w:t>
      </w:r>
    </w:p>
    <w:p w14:paraId="0F000000">
      <w:r>
        <w:t xml:space="preserve">                                          </w:t>
      </w:r>
      <w:r>
        <w:t>П</w:t>
      </w:r>
      <w:r>
        <w:rPr>
          <w:caps w:val="1"/>
        </w:rPr>
        <w:t>остановляю</w:t>
      </w:r>
      <w:r>
        <w:t>:</w:t>
      </w:r>
    </w:p>
    <w:p w14:paraId="10000000">
      <w:pPr>
        <w:tabs>
          <w:tab w:leader="none" w:pos="9356" w:val="left"/>
        </w:tabs>
        <w:spacing w:after="0"/>
        <w:ind w:firstLine="567" w:left="142" w:right="135"/>
        <w:rPr>
          <w:color w:val="000000"/>
        </w:rPr>
      </w:pPr>
      <w:r>
        <w:t xml:space="preserve">1. Утвердить </w:t>
      </w:r>
      <w:r>
        <w:rPr>
          <w:color w:val="000000"/>
        </w:rPr>
        <w:t xml:space="preserve">Положение </w:t>
      </w:r>
      <w:r>
        <w:rPr>
          <w:color w:val="000000"/>
        </w:rPr>
        <w:t>об условиях и порядке оказания поддержки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на территории муниципального образования «Город Донецк»</w:t>
      </w:r>
      <w:r>
        <w:rPr>
          <w:color w:val="000000"/>
        </w:rPr>
        <w:t xml:space="preserve"> согласно приложению.</w:t>
      </w:r>
    </w:p>
    <w:p w14:paraId="11000000">
      <w:pPr>
        <w:ind w:firstLine="567" w:left="142"/>
      </w:pPr>
      <w:r>
        <w:t xml:space="preserve">2. Настоящее  </w:t>
      </w:r>
      <w:r>
        <w:rPr>
          <w:spacing w:val="-4"/>
        </w:rPr>
        <w:t>постановление подлежит официальному опубликованию, а также  размещению  на официальном сайте Администрации города Донецка в сети «Интернет» (ответственный ― управляющий делами Администрации города Донецка</w:t>
      </w:r>
      <w:r>
        <w:rPr>
          <w:spacing w:val="-4"/>
        </w:rPr>
        <w:t xml:space="preserve"> Китаева Д.В.</w:t>
      </w:r>
      <w:r>
        <w:rPr>
          <w:spacing w:val="-4"/>
        </w:rPr>
        <w:t>).</w:t>
      </w:r>
    </w:p>
    <w:p w14:paraId="12000000">
      <w:pPr>
        <w:ind w:firstLine="567" w:left="142"/>
        <w:rPr>
          <w:spacing w:val="-4"/>
        </w:rPr>
      </w:pPr>
      <w:r>
        <w:rPr>
          <w:spacing w:val="-4"/>
        </w:rPr>
        <w:t xml:space="preserve">3. Настоящее постановление вступает в силу со дня его официального опубликования. </w:t>
      </w:r>
    </w:p>
    <w:p w14:paraId="13000000">
      <w:pPr>
        <w:ind w:firstLine="567" w:left="142"/>
        <w:rPr>
          <w:spacing w:val="-4"/>
        </w:rPr>
      </w:pPr>
      <w:r>
        <w:rPr>
          <w:spacing w:val="-4"/>
        </w:rPr>
        <w:t>4. </w:t>
      </w:r>
      <w:r>
        <w:rPr>
          <w:spacing w:val="-4"/>
        </w:rPr>
        <w:t>Контроль за</w:t>
      </w:r>
      <w:r>
        <w:rPr>
          <w:spacing w:val="-4"/>
        </w:rPr>
        <w:t xml:space="preserve"> выполнением постановления возложить на</w:t>
      </w:r>
      <w:r>
        <w:rPr>
          <w:spacing w:val="-4"/>
        </w:rPr>
        <w:t xml:space="preserve"> </w:t>
      </w:r>
      <w:r>
        <w:rPr>
          <w:spacing w:val="-4"/>
        </w:rPr>
        <w:t>заместителя главы Администрации города</w:t>
      </w:r>
      <w:r>
        <w:rPr>
          <w:spacing w:val="-4"/>
        </w:rPr>
        <w:t xml:space="preserve"> Донецка </w:t>
      </w:r>
      <w:r>
        <w:rPr>
          <w:spacing w:val="-4"/>
        </w:rPr>
        <w:t xml:space="preserve"> </w:t>
      </w:r>
      <w:r>
        <w:rPr>
          <w:spacing w:val="-4"/>
        </w:rPr>
        <w:t>по строительству, ЖХК, транспорту и связи Попова В.А.</w:t>
      </w:r>
    </w:p>
    <w:p w14:paraId="14000000">
      <w:pPr>
        <w:ind w:firstLine="567" w:left="142"/>
      </w:pPr>
    </w:p>
    <w:p w14:paraId="15000000">
      <w:pPr>
        <w:ind w:firstLine="567" w:left="142"/>
      </w:pPr>
    </w:p>
    <w:p w14:paraId="16000000">
      <w:pPr>
        <w:ind w:firstLine="567" w:left="142"/>
      </w:pPr>
    </w:p>
    <w:p w14:paraId="17000000">
      <w:pPr>
        <w:ind w:firstLine="708" w:left="0"/>
        <w:rPr>
          <w:spacing w:val="-4"/>
        </w:rPr>
      </w:pPr>
      <w:r>
        <w:rPr>
          <w:spacing w:val="-4"/>
        </w:rPr>
        <w:t>Глава Администрации города Донецка                                         Р.В. Кураев</w:t>
      </w:r>
    </w:p>
    <w:p w14:paraId="18000000">
      <w:pPr>
        <w:tabs>
          <w:tab w:leader="none" w:pos="3828" w:val="left"/>
        </w:tabs>
        <w:spacing w:after="0" w:line="240" w:lineRule="auto"/>
        <w:ind w:firstLine="0" w:left="0" w:right="5640"/>
        <w:rPr>
          <w:sz w:val="24"/>
        </w:rPr>
      </w:pPr>
    </w:p>
    <w:p w14:paraId="19000000">
      <w:pPr>
        <w:tabs>
          <w:tab w:leader="none" w:pos="3828" w:val="left"/>
        </w:tabs>
        <w:spacing w:after="0" w:line="240" w:lineRule="auto"/>
        <w:ind w:firstLine="0" w:left="0" w:right="5640"/>
        <w:rPr>
          <w:sz w:val="24"/>
        </w:rPr>
      </w:pPr>
    </w:p>
    <w:p w14:paraId="1A000000">
      <w:pPr>
        <w:tabs>
          <w:tab w:leader="none" w:pos="3828" w:val="left"/>
        </w:tabs>
        <w:spacing w:after="0" w:line="240" w:lineRule="auto"/>
        <w:ind w:firstLine="0" w:left="0" w:right="5640"/>
        <w:rPr>
          <w:sz w:val="24"/>
        </w:rPr>
      </w:pPr>
    </w:p>
    <w:p w14:paraId="1B000000">
      <w:pPr>
        <w:tabs>
          <w:tab w:leader="none" w:pos="3828" w:val="left"/>
        </w:tabs>
        <w:spacing w:after="0" w:line="240" w:lineRule="auto"/>
        <w:ind w:firstLine="0" w:left="0" w:right="5640"/>
        <w:rPr>
          <w:sz w:val="24"/>
        </w:rPr>
      </w:pPr>
    </w:p>
    <w:p w14:paraId="1C000000">
      <w:pPr>
        <w:tabs>
          <w:tab w:leader="none" w:pos="3828" w:val="left"/>
        </w:tabs>
        <w:spacing w:after="0" w:line="240" w:lineRule="auto"/>
        <w:ind w:firstLine="0" w:left="0" w:right="2795"/>
        <w:rPr>
          <w:sz w:val="24"/>
        </w:rPr>
      </w:pPr>
      <w:r>
        <w:rPr>
          <w:sz w:val="24"/>
        </w:rPr>
        <w:t>Постановление</w:t>
      </w:r>
      <w:r>
        <w:rPr>
          <w:color w:val="FFFFFF"/>
          <w:sz w:val="24"/>
        </w:rPr>
        <w:t>.</w:t>
      </w:r>
      <w:r>
        <w:rPr>
          <w:sz w:val="24"/>
        </w:rPr>
        <w:t>в</w:t>
      </w:r>
      <w:r>
        <w:rPr>
          <w:sz w:val="24"/>
        </w:rPr>
        <w:t>носит</w:t>
      </w:r>
      <w:r>
        <w:rPr>
          <w:color w:val="FFFFFF"/>
          <w:sz w:val="24"/>
        </w:rPr>
        <w:t>..</w:t>
      </w:r>
      <w:r>
        <w:rPr>
          <w:sz w:val="24"/>
        </w:rPr>
        <w:t>отдел</w:t>
      </w:r>
      <w:r>
        <w:rPr>
          <w:color w:val="FFFFFF"/>
          <w:sz w:val="24"/>
        </w:rPr>
        <w:t>.</w:t>
      </w:r>
      <w:r>
        <w:rPr>
          <w:sz w:val="24"/>
        </w:rPr>
        <w:t>экономики и</w:t>
      </w:r>
      <w:r>
        <w:rPr>
          <w:color w:val="FFFFFF"/>
          <w:sz w:val="24"/>
        </w:rPr>
        <w:t>.</w:t>
      </w:r>
      <w:r>
        <w:rPr>
          <w:sz w:val="24"/>
        </w:rPr>
        <w:t>торговли Администрации города Донецка</w:t>
      </w:r>
    </w:p>
    <w:p w14:paraId="1D000000">
      <w:pPr>
        <w:ind w:firstLine="0" w:left="5387"/>
        <w:jc w:val="center"/>
      </w:pPr>
    </w:p>
    <w:p w14:paraId="1E000000">
      <w:pPr>
        <w:ind w:firstLine="0" w:left="5387"/>
        <w:jc w:val="center"/>
      </w:pPr>
    </w:p>
    <w:p w14:paraId="1F000000">
      <w:pPr>
        <w:ind w:firstLine="0" w:left="5387"/>
        <w:jc w:val="center"/>
      </w:pPr>
    </w:p>
    <w:p w14:paraId="20000000">
      <w:pPr>
        <w:ind w:firstLine="0" w:left="5387"/>
        <w:jc w:val="center"/>
      </w:pPr>
    </w:p>
    <w:p w14:paraId="21000000">
      <w:pPr>
        <w:ind w:firstLine="0" w:left="5387"/>
        <w:jc w:val="center"/>
      </w:pPr>
    </w:p>
    <w:p w14:paraId="22000000">
      <w:pPr>
        <w:ind w:firstLine="0" w:left="5387"/>
        <w:jc w:val="center"/>
      </w:pPr>
    </w:p>
    <w:p w14:paraId="23000000">
      <w:pPr>
        <w:ind w:firstLine="0" w:left="5387"/>
        <w:jc w:val="center"/>
      </w:pPr>
    </w:p>
    <w:p w14:paraId="24000000">
      <w:pPr>
        <w:ind w:firstLine="0" w:left="5387"/>
        <w:jc w:val="center"/>
      </w:pPr>
    </w:p>
    <w:p w14:paraId="25000000">
      <w:pPr>
        <w:ind w:firstLine="0" w:left="5387"/>
        <w:jc w:val="center"/>
      </w:pPr>
    </w:p>
    <w:p w14:paraId="26000000">
      <w:pPr>
        <w:ind w:firstLine="0" w:left="5387"/>
        <w:jc w:val="center"/>
      </w:pPr>
    </w:p>
    <w:p w14:paraId="27000000">
      <w:pPr>
        <w:ind w:firstLine="0" w:left="5387"/>
        <w:jc w:val="center"/>
      </w:pPr>
    </w:p>
    <w:p w14:paraId="28000000">
      <w:pPr>
        <w:ind w:firstLine="0" w:left="5387"/>
        <w:jc w:val="center"/>
      </w:pPr>
    </w:p>
    <w:p w14:paraId="29000000">
      <w:pPr>
        <w:ind w:firstLine="0" w:left="5387"/>
        <w:jc w:val="center"/>
      </w:pPr>
    </w:p>
    <w:p w14:paraId="2A000000">
      <w:pPr>
        <w:ind w:firstLine="0" w:left="5387"/>
        <w:jc w:val="center"/>
      </w:pPr>
    </w:p>
    <w:p w14:paraId="2B000000">
      <w:pPr>
        <w:ind w:firstLine="0" w:left="5387"/>
        <w:jc w:val="center"/>
      </w:pPr>
    </w:p>
    <w:p w14:paraId="2C000000">
      <w:pPr>
        <w:ind w:firstLine="0" w:left="5387"/>
        <w:jc w:val="center"/>
      </w:pPr>
    </w:p>
    <w:p w14:paraId="2D000000">
      <w:pPr>
        <w:ind w:firstLine="0" w:left="5387"/>
        <w:jc w:val="center"/>
      </w:pPr>
    </w:p>
    <w:p w14:paraId="2E000000">
      <w:pPr>
        <w:ind w:firstLine="0" w:left="5387"/>
        <w:jc w:val="center"/>
      </w:pPr>
    </w:p>
    <w:p w14:paraId="2F000000">
      <w:pPr>
        <w:ind w:firstLine="0" w:left="5387"/>
        <w:jc w:val="center"/>
      </w:pPr>
    </w:p>
    <w:p w14:paraId="30000000">
      <w:pPr>
        <w:ind w:firstLine="0" w:left="5387"/>
        <w:jc w:val="center"/>
      </w:pPr>
    </w:p>
    <w:p w14:paraId="31000000">
      <w:pPr>
        <w:ind w:firstLine="0" w:left="5387"/>
        <w:jc w:val="center"/>
      </w:pPr>
    </w:p>
    <w:p w14:paraId="32000000">
      <w:pPr>
        <w:ind w:firstLine="0" w:left="5387"/>
        <w:jc w:val="center"/>
      </w:pPr>
    </w:p>
    <w:p w14:paraId="33000000">
      <w:pPr>
        <w:ind w:firstLine="0" w:left="5387"/>
        <w:jc w:val="center"/>
      </w:pPr>
    </w:p>
    <w:p w14:paraId="34000000">
      <w:pPr>
        <w:ind w:firstLine="0" w:left="5387"/>
        <w:jc w:val="center"/>
      </w:pPr>
    </w:p>
    <w:p w14:paraId="35000000">
      <w:pPr>
        <w:ind w:firstLine="0" w:left="5387"/>
        <w:jc w:val="center"/>
      </w:pPr>
    </w:p>
    <w:p w14:paraId="36000000">
      <w:pPr>
        <w:ind w:firstLine="0" w:left="5387"/>
        <w:jc w:val="center"/>
      </w:pPr>
    </w:p>
    <w:p w14:paraId="37000000">
      <w:pPr>
        <w:ind w:firstLine="0" w:left="5387"/>
        <w:jc w:val="center"/>
      </w:pPr>
    </w:p>
    <w:p w14:paraId="38000000">
      <w:pPr>
        <w:ind w:firstLine="0" w:left="5387"/>
        <w:jc w:val="center"/>
      </w:pPr>
      <w:r>
        <w:t>Приложение</w:t>
      </w:r>
    </w:p>
    <w:p w14:paraId="39000000">
      <w:pPr>
        <w:ind w:firstLine="0" w:left="4820"/>
        <w:contextualSpacing w:val="1"/>
        <w:jc w:val="center"/>
        <w:rPr>
          <w:spacing w:val="2"/>
        </w:rPr>
      </w:pPr>
      <w:r>
        <w:rPr>
          <w:spacing w:val="2"/>
        </w:rPr>
        <w:t>к постановлению</w:t>
      </w:r>
      <w:r>
        <w:rPr>
          <w:spacing w:val="2"/>
        </w:rPr>
        <w:t xml:space="preserve">  А</w:t>
      </w:r>
      <w:r>
        <w:rPr>
          <w:spacing w:val="2"/>
        </w:rPr>
        <w:t>дминистрации</w:t>
      </w:r>
    </w:p>
    <w:p w14:paraId="3A000000">
      <w:pPr>
        <w:ind w:firstLine="0" w:left="5387"/>
        <w:jc w:val="center"/>
      </w:pPr>
      <w:r>
        <w:rPr>
          <w:spacing w:val="2"/>
        </w:rPr>
        <w:t>города Донецка</w:t>
      </w:r>
      <w:r>
        <w:rPr>
          <w:spacing w:val="2"/>
        </w:rPr>
        <w:br/>
      </w:r>
      <w:r>
        <w:t xml:space="preserve">     от 23.08.2022 №250</w:t>
      </w:r>
    </w:p>
    <w:p w14:paraId="3B000000">
      <w:pPr>
        <w:rPr>
          <w:b w:val="1"/>
        </w:rPr>
      </w:pPr>
    </w:p>
    <w:p w14:paraId="3C000000">
      <w:pPr>
        <w:spacing w:after="0"/>
        <w:ind w:hanging="156" w:left="298" w:right="514"/>
        <w:jc w:val="center"/>
        <w:rPr>
          <w:color w:val="000000"/>
        </w:rPr>
      </w:pPr>
      <w:r>
        <w:rPr>
          <w:color w:val="000000"/>
        </w:rPr>
        <w:t>ПОЛОЖЕНИЕ</w:t>
      </w:r>
    </w:p>
    <w:p w14:paraId="3D000000">
      <w:pPr>
        <w:spacing w:after="0"/>
        <w:ind w:hanging="156" w:left="156" w:right="514"/>
        <w:jc w:val="center"/>
        <w:rPr>
          <w:color w:val="000000"/>
        </w:rPr>
      </w:pPr>
      <w:r>
        <w:rPr>
          <w:color w:val="000000"/>
        </w:rPr>
        <w:t>об условиях и порядке оказания поддержки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на территории муниципального образования «Город Донецк»</w:t>
      </w:r>
    </w:p>
    <w:p w14:paraId="3E000000">
      <w:pPr>
        <w:spacing w:after="0"/>
        <w:ind w:hanging="156" w:left="156" w:right="514"/>
        <w:jc w:val="center"/>
        <w:rPr>
          <w:color w:val="000000"/>
        </w:rPr>
      </w:pPr>
    </w:p>
    <w:p w14:paraId="3F000000">
      <w:pPr>
        <w:widowControl w:val="0"/>
        <w:numPr>
          <w:ilvl w:val="0"/>
          <w:numId w:val="1"/>
        </w:numPr>
        <w:tabs>
          <w:tab w:leader="none" w:pos="0" w:val="left"/>
          <w:tab w:leader="none" w:pos="567" w:val="clear"/>
        </w:tabs>
        <w:spacing w:after="0" w:line="240" w:lineRule="auto"/>
        <w:ind w:firstLine="0" w:left="0" w:right="0"/>
        <w:jc w:val="center"/>
      </w:pPr>
      <w:r>
        <w:t>Общие положения</w:t>
      </w:r>
    </w:p>
    <w:p w14:paraId="40000000">
      <w:pPr>
        <w:numPr>
          <w:ilvl w:val="0"/>
          <w:numId w:val="2"/>
        </w:numPr>
        <w:ind w:firstLine="720" w:left="0" w:right="108"/>
        <w:rPr>
          <w:color w:val="000000"/>
        </w:rPr>
      </w:pPr>
      <w:r>
        <w:rPr>
          <w:color w:val="000000"/>
        </w:rPr>
        <w:t xml:space="preserve">Настоящее Положение об условиях и порядке оказания поддержки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на территории муниципального образования «Город Донецк» (далее </w:t>
      </w:r>
      <w:r>
        <w:rPr>
          <w:color w:val="000000"/>
        </w:rPr>
        <w:t>-</w:t>
      </w:r>
      <w:r>
        <w:rPr>
          <w:color w:val="000000"/>
        </w:rPr>
        <w:t xml:space="preserve"> Положение) разработано в соответствии с Федеральным законом от 24.07.2007 № 209-ФЗ «О развитии малого и среднего предпринимательства в Российской Федерации» (далее – Федеральный закон            № 209 - ФЗ), в целях обеспечения благоприятных условий для развития субъектов малого и среднего</w:t>
      </w:r>
      <w:r>
        <w:rPr>
          <w:color w:val="000000"/>
        </w:rPr>
        <w:t xml:space="preserve"> предпринимательства и организаций, образующих инфраструктуру поддержки субъектов малого и среднего предпринимательства, на территории</w:t>
      </w:r>
      <w:r>
        <w:rPr>
          <w:color w:val="000000"/>
        </w:rPr>
        <w:t xml:space="preserve"> муниципального образования «Город Донецк» (далее – город Донецк)</w:t>
      </w:r>
      <w:r>
        <w:rPr>
          <w:color w:val="000000"/>
        </w:rPr>
        <w:t>.</w:t>
      </w:r>
    </w:p>
    <w:p w14:paraId="41000000">
      <w:pPr>
        <w:numPr>
          <w:ilvl w:val="0"/>
          <w:numId w:val="2"/>
        </w:numPr>
        <w:ind w:firstLine="720" w:left="0" w:right="108"/>
        <w:rPr>
          <w:color w:val="000000"/>
        </w:rPr>
      </w:pPr>
      <w:r>
        <w:rPr>
          <w:color w:val="000000"/>
        </w:rPr>
        <w:t>Основными принципами поддержки субъектов малого и среднего предпринимательства являются:</w:t>
      </w:r>
    </w:p>
    <w:p w14:paraId="42000000">
      <w:pPr>
        <w:numPr>
          <w:ilvl w:val="0"/>
          <w:numId w:val="3"/>
        </w:numPr>
        <w:ind w:firstLine="712" w:left="0" w:right="62"/>
        <w:rPr>
          <w:color w:val="000000"/>
        </w:rPr>
      </w:pPr>
      <w:r>
        <w:rPr>
          <w:color w:val="000000"/>
        </w:rPr>
        <w:t>заявительный порядок обращения субъектов малого и среднего предпринимательства за оказанием поддержки;</w:t>
      </w:r>
    </w:p>
    <w:p w14:paraId="43000000">
      <w:pPr>
        <w:numPr>
          <w:ilvl w:val="0"/>
          <w:numId w:val="3"/>
        </w:numPr>
        <w:ind w:firstLine="712" w:left="0" w:right="62"/>
        <w:rPr>
          <w:color w:val="000000"/>
        </w:rPr>
      </w:pPr>
      <w:r>
        <w:rPr>
          <w:color w:val="000000"/>
        </w:rPr>
        <w:t>доступность инфраструктуры поддержки субъектов малого и среднего предпринимательства для всех субъектов малого и среднего предпринимательства;</w:t>
      </w:r>
    </w:p>
    <w:p w14:paraId="44000000">
      <w:pPr>
        <w:numPr>
          <w:ilvl w:val="0"/>
          <w:numId w:val="3"/>
        </w:numPr>
        <w:ind w:firstLine="712" w:left="0" w:right="62"/>
        <w:rPr>
          <w:color w:val="000000"/>
        </w:rPr>
      </w:pPr>
      <w:r>
        <w:rPr>
          <w:color w:val="000000"/>
        </w:rPr>
        <w:t>равный доступ субъектов малого и среднего предпринимательства, соответствующих условиям, установленным муниципальными правовыми актами, принимаемыми в целях реализации муниципальных программ (подпрограмм), к участию в указанных программах (подпрограммах);</w:t>
      </w:r>
    </w:p>
    <w:p w14:paraId="45000000">
      <w:pPr>
        <w:numPr>
          <w:ilvl w:val="0"/>
          <w:numId w:val="3"/>
        </w:numPr>
        <w:ind w:firstLine="570" w:left="0" w:right="62"/>
        <w:rPr>
          <w:color w:val="000000"/>
        </w:rPr>
      </w:pPr>
      <w:r>
        <w:rPr>
          <w:color w:val="000000"/>
        </w:rPr>
        <w:t>оказание поддержки с соблюдением требований, установленных Федеральным законом от 26.07. 2006  № 135-ФЗ «О защите конкуренции»;</w:t>
      </w:r>
    </w:p>
    <w:p w14:paraId="46000000">
      <w:pPr>
        <w:numPr>
          <w:ilvl w:val="0"/>
          <w:numId w:val="3"/>
        </w:numPr>
        <w:ind w:firstLine="570" w:left="0" w:right="62"/>
        <w:rPr>
          <w:color w:val="000000"/>
        </w:rPr>
      </w:pPr>
      <w:r>
        <w:rPr>
          <w:color w:val="000000"/>
        </w:rPr>
        <w:t>открытость процедур оказания поддержки.</w:t>
      </w:r>
    </w:p>
    <w:p w14:paraId="47000000">
      <w:pPr>
        <w:ind w:firstLine="0" w:left="709" w:right="62"/>
        <w:rPr>
          <w:color w:val="000000"/>
        </w:rPr>
      </w:pPr>
    </w:p>
    <w:p w14:paraId="48000000">
      <w:pPr>
        <w:ind w:firstLine="0" w:left="709" w:right="62"/>
        <w:rPr>
          <w:color w:val="000000"/>
        </w:rPr>
      </w:pPr>
    </w:p>
    <w:p w14:paraId="49000000">
      <w:pPr>
        <w:ind w:firstLine="0" w:left="709" w:right="62"/>
        <w:rPr>
          <w:color w:val="000000"/>
        </w:rPr>
      </w:pPr>
    </w:p>
    <w:p w14:paraId="4A000000">
      <w:pPr>
        <w:ind w:firstLine="0" w:left="709" w:right="62"/>
        <w:rPr>
          <w:color w:val="000000"/>
        </w:rPr>
      </w:pPr>
    </w:p>
    <w:p w14:paraId="4B000000">
      <w:pPr>
        <w:ind w:right="62"/>
        <w:jc w:val="center"/>
        <w:rPr>
          <w:color w:val="FF0000"/>
        </w:rPr>
      </w:pPr>
      <w:r>
        <w:t>II</w:t>
      </w:r>
      <w:r>
        <w:t>. Порядок</w:t>
      </w:r>
      <w:r>
        <w:rPr>
          <w:color w:val="000000"/>
        </w:rPr>
        <w:t xml:space="preserve"> оказанием поддержки субъекты малого и среднего предпринимательства</w:t>
      </w:r>
    </w:p>
    <w:p w14:paraId="4C000000">
      <w:pPr>
        <w:ind w:right="62"/>
        <w:jc w:val="center"/>
        <w:rPr>
          <w:color w:val="FF0000"/>
        </w:rPr>
      </w:pPr>
    </w:p>
    <w:p w14:paraId="4D000000">
      <w:pPr>
        <w:ind w:firstLine="567" w:left="0" w:right="62"/>
        <w:rPr>
          <w:color w:val="000000"/>
        </w:rPr>
      </w:pPr>
      <w:r>
        <w:rPr>
          <w:color w:val="000000"/>
        </w:rPr>
        <w:t>3.  При обращении субъектов малого и среднего предпринимательства за оказанием поддержки субъекты малого и среднего предпринимательства должны представить документы, подтверждающие их соответствие условиям, предусмотренным ст</w:t>
      </w:r>
      <w:r>
        <w:rPr>
          <w:color w:val="000000"/>
        </w:rPr>
        <w:t xml:space="preserve">атьей 4 </w:t>
      </w:r>
      <w:r>
        <w:rPr>
          <w:color w:val="000000"/>
        </w:rPr>
        <w:t xml:space="preserve"> Федерального закона № 209</w:t>
      </w:r>
      <w:r>
        <w:rPr>
          <w:color w:val="000000"/>
        </w:rPr>
        <w:t>-</w:t>
      </w:r>
      <w:r>
        <w:rPr>
          <w:color w:val="000000"/>
        </w:rPr>
        <w:t>ФЗ и муниципальными правовыми актами, принимаемыми в целях реализации муниципальных программ (подпрограмм).</w:t>
      </w:r>
    </w:p>
    <w:p w14:paraId="4E000000">
      <w:pPr>
        <w:ind w:firstLine="567" w:left="0" w:right="62"/>
        <w:rPr>
          <w:color w:val="000000"/>
        </w:rPr>
      </w:pPr>
      <w:r>
        <w:rPr>
          <w:color w:val="000000"/>
        </w:rPr>
        <w:t>4. Субъектами малого и среднего предпринимательства, претендующим на получение поддержки, должны быть предоставлены следующие документы:</w:t>
      </w:r>
    </w:p>
    <w:p w14:paraId="4F000000">
      <w:pPr>
        <w:spacing w:after="0"/>
        <w:ind w:firstLine="567" w:left="0" w:right="62"/>
        <w:rPr>
          <w:color w:val="000000"/>
        </w:rPr>
      </w:pPr>
      <w:r>
        <w:rPr>
          <w:color w:val="000000"/>
        </w:rPr>
        <w:t xml:space="preserve">1) заявление на получение поддержки; </w:t>
      </w:r>
    </w:p>
    <w:p w14:paraId="50000000">
      <w:pPr>
        <w:spacing w:after="0"/>
        <w:ind w:firstLine="567" w:left="0" w:right="62"/>
        <w:rPr>
          <w:color w:val="000000"/>
        </w:rPr>
      </w:pPr>
      <w:r>
        <w:rPr>
          <w:color w:val="000000"/>
        </w:rPr>
        <w:t>2) копии регистрационных, учредительных документов со всеми действующими изменениями и дополнениями;</w:t>
      </w:r>
    </w:p>
    <w:p w14:paraId="51000000">
      <w:pPr>
        <w:spacing w:after="0"/>
        <w:ind w:firstLine="567" w:left="0" w:right="62"/>
        <w:rPr>
          <w:color w:val="000000"/>
        </w:rPr>
      </w:pPr>
      <w:r>
        <w:rPr>
          <w:color w:val="000000"/>
        </w:rPr>
        <w:t xml:space="preserve">3)  копия лицензии на заявленную деятельность (при наличии); </w:t>
      </w:r>
    </w:p>
    <w:p w14:paraId="52000000">
      <w:pPr>
        <w:spacing w:after="0"/>
        <w:ind w:firstLine="567" w:left="0" w:right="62"/>
        <w:rPr>
          <w:color w:val="000000"/>
        </w:rPr>
      </w:pPr>
      <w:r>
        <w:rPr>
          <w:color w:val="000000"/>
        </w:rPr>
        <w:t xml:space="preserve">4) справка  из налогового органа об отсутствии задолженности по платежам в бюджет; </w:t>
      </w:r>
    </w:p>
    <w:p w14:paraId="53000000">
      <w:pPr>
        <w:spacing w:after="0"/>
        <w:ind w:firstLine="567" w:left="0" w:right="62"/>
        <w:rPr>
          <w:color w:val="000000"/>
        </w:rPr>
      </w:pPr>
      <w:r>
        <w:rPr>
          <w:color w:val="000000"/>
        </w:rPr>
        <w:t>5) документ, подтверждающий правоспособность представителя заявителя заключать договор от имени юридического лица;</w:t>
      </w:r>
    </w:p>
    <w:p w14:paraId="54000000">
      <w:pPr>
        <w:spacing w:after="0"/>
        <w:ind w:firstLine="567" w:left="0" w:right="62"/>
        <w:rPr>
          <w:color w:val="000000"/>
        </w:rPr>
      </w:pPr>
      <w:r>
        <w:rPr>
          <w:color w:val="000000"/>
        </w:rPr>
        <w:t xml:space="preserve">6) </w:t>
      </w:r>
      <w:r>
        <w:rPr>
          <w:color w:val="000000"/>
        </w:rPr>
        <w:t>обоснование формы и размер необходимой поддержки с указанием целей использования и расх</w:t>
      </w:r>
      <w:r>
        <w:rPr>
          <w:color w:val="000000"/>
        </w:rPr>
        <w:t>одования испрашиваемых ресурсов;</w:t>
      </w:r>
    </w:p>
    <w:p w14:paraId="55000000">
      <w:pPr>
        <w:spacing w:after="0"/>
        <w:ind w:firstLine="567" w:left="0" w:right="62"/>
        <w:rPr>
          <w:color w:val="000000"/>
        </w:rPr>
      </w:pPr>
      <w:r>
        <w:rPr>
          <w:color w:val="000000"/>
        </w:rPr>
        <w:t>7) д</w:t>
      </w:r>
      <w:r>
        <w:rPr>
          <w:color w:val="000000"/>
        </w:rPr>
        <w:t>окументы, подтверждающие их соответствие условиям, которые установлены статьей 4 Федерального закона  № 209-ФЗ:</w:t>
      </w:r>
    </w:p>
    <w:p w14:paraId="56000000">
      <w:pPr>
        <w:ind w:firstLine="567" w:left="0" w:right="62"/>
        <w:rPr>
          <w:color w:val="000000"/>
        </w:rPr>
      </w:pPr>
      <w:r>
        <w:rPr>
          <w:color w:val="000000"/>
        </w:rPr>
        <w:t xml:space="preserve">а) </w:t>
      </w:r>
      <w:r>
        <w:rPr>
          <w:color w:val="000000"/>
        </w:rPr>
        <w:t>налого</w:t>
      </w:r>
      <w:r>
        <w:rPr>
          <w:color w:val="000000"/>
        </w:rPr>
        <w:t>вая</w:t>
      </w:r>
      <w:r>
        <w:rPr>
          <w:color w:val="000000"/>
        </w:rPr>
        <w:t xml:space="preserve"> деклараци</w:t>
      </w:r>
      <w:r>
        <w:rPr>
          <w:color w:val="000000"/>
        </w:rPr>
        <w:t>я</w:t>
      </w:r>
      <w:r>
        <w:rPr>
          <w:color w:val="000000"/>
        </w:rPr>
        <w:t xml:space="preserve"> за </w:t>
      </w:r>
      <w:r>
        <w:rPr>
          <w:color w:val="000000"/>
        </w:rPr>
        <w:t>предшествующий отчетный период;</w:t>
      </w:r>
    </w:p>
    <w:p w14:paraId="57000000">
      <w:pPr>
        <w:ind w:firstLine="567" w:left="0" w:right="62"/>
        <w:rPr>
          <w:color w:val="000000"/>
        </w:rPr>
      </w:pPr>
      <w:r>
        <w:rPr>
          <w:color w:val="000000"/>
        </w:rPr>
        <w:t>б)</w:t>
      </w:r>
      <w:r>
        <w:rPr>
          <w:color w:val="000000"/>
        </w:rPr>
        <w:t xml:space="preserve"> справк</w:t>
      </w:r>
      <w:r>
        <w:rPr>
          <w:color w:val="000000"/>
        </w:rPr>
        <w:t>а</w:t>
      </w:r>
      <w:r>
        <w:rPr>
          <w:color w:val="000000"/>
        </w:rPr>
        <w:t xml:space="preserve"> о средней численности работников за предшествующий календарный год;</w:t>
      </w:r>
    </w:p>
    <w:p w14:paraId="58000000">
      <w:pPr>
        <w:ind w:firstLine="567" w:left="0" w:right="62"/>
        <w:rPr>
          <w:color w:val="000000"/>
        </w:rPr>
      </w:pPr>
      <w:r>
        <w:rPr>
          <w:color w:val="000000"/>
        </w:rPr>
        <w:t xml:space="preserve">в) </w:t>
      </w:r>
      <w:r>
        <w:rPr>
          <w:color w:val="000000"/>
        </w:rPr>
        <w:t>бухгалтерский баланс за предшествующий отчетный период.</w:t>
      </w:r>
    </w:p>
    <w:p w14:paraId="59000000">
      <w:pPr>
        <w:ind w:firstLine="0" w:left="0" w:right="62"/>
        <w:rPr>
          <w:color w:val="000000"/>
        </w:rPr>
      </w:pPr>
      <w:r>
        <w:rPr>
          <w:color w:val="000000"/>
        </w:rPr>
        <w:t xml:space="preserve">  </w:t>
      </w:r>
      <w:r>
        <w:rPr>
          <w:color w:val="000000"/>
        </w:rPr>
        <w:t xml:space="preserve">Не допускается требовать у субъектов малого и среднего предпринимательства представления документов, которые находятся в распоряжении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за исключением случаев, если такие документы включены в определенный Федеральным законом от 27.07.2010  № </w:t>
      </w:r>
      <w:r>
        <w:rPr>
          <w:color w:val="000000"/>
        </w:rPr>
        <w:t>210-ФЗ «Об организации предоставления государственных и муниципальных услуг» перечень документов.</w:t>
      </w:r>
    </w:p>
    <w:p w14:paraId="5A000000">
      <w:pPr>
        <w:ind w:firstLine="425" w:left="0" w:right="62"/>
        <w:rPr>
          <w:color w:val="000000"/>
        </w:rPr>
      </w:pPr>
      <w:r>
        <w:rPr>
          <w:color w:val="000000"/>
        </w:rPr>
        <w:t>5</w:t>
      </w:r>
      <w:r>
        <w:rPr>
          <w:color w:val="000000"/>
        </w:rPr>
        <w:t>. Поддержка оказывается субъектам малого и среднего предпринимательства, если они:</w:t>
      </w:r>
    </w:p>
    <w:p w14:paraId="5B000000">
      <w:pPr>
        <w:ind w:firstLine="425" w:left="0" w:right="62"/>
        <w:rPr>
          <w:color w:val="000000"/>
        </w:rPr>
      </w:pPr>
      <w:r>
        <w:rPr>
          <w:color w:val="000000"/>
        </w:rPr>
        <w:t xml:space="preserve">1) </w:t>
      </w:r>
      <w:r>
        <w:rPr>
          <w:color w:val="000000"/>
        </w:rPr>
        <w:t>осуществляют свою деятельность на территории</w:t>
      </w:r>
      <w:r>
        <w:rPr>
          <w:color w:val="000000"/>
        </w:rPr>
        <w:t xml:space="preserve"> города Донецка</w:t>
      </w:r>
      <w:r>
        <w:rPr>
          <w:color w:val="000000"/>
        </w:rPr>
        <w:t xml:space="preserve">; </w:t>
      </w:r>
    </w:p>
    <w:p w14:paraId="5C000000">
      <w:pPr>
        <w:ind w:firstLine="425" w:left="0" w:right="62"/>
        <w:rPr>
          <w:color w:val="000000"/>
        </w:rPr>
      </w:pPr>
      <w:r>
        <w:rPr>
          <w:color w:val="000000"/>
        </w:rPr>
        <w:t xml:space="preserve">2) </w:t>
      </w:r>
      <w:r>
        <w:rPr>
          <w:color w:val="000000"/>
        </w:rPr>
        <w:t>не находятся в стадии приостановления деятельности, реорганизации, ликвидации или банкротства.</w:t>
      </w:r>
    </w:p>
    <w:p w14:paraId="5D000000">
      <w:pPr>
        <w:ind w:firstLine="425" w:left="0" w:right="62"/>
        <w:rPr>
          <w:color w:val="000000"/>
        </w:rPr>
      </w:pPr>
      <w:r>
        <w:rPr>
          <w:color w:val="000000"/>
        </w:rPr>
        <w:t xml:space="preserve">6. </w:t>
      </w:r>
      <w:r>
        <w:rPr>
          <w:color w:val="000000"/>
        </w:rPr>
        <w:t>Поддержка не может оказываться в отношении субъектов малого и среднего предпринимательства:</w:t>
      </w:r>
    </w:p>
    <w:p w14:paraId="5E000000">
      <w:pPr>
        <w:ind w:firstLine="425" w:left="0" w:right="62"/>
        <w:rPr>
          <w:color w:val="000000"/>
        </w:rPr>
      </w:pPr>
      <w:r>
        <w:rPr>
          <w:color w:val="000000"/>
        </w:rPr>
        <w:t xml:space="preserve">1) </w:t>
      </w:r>
      <w:r>
        <w:rPr>
          <w:color w:val="000000"/>
        </w:rPr>
        <w:t>являющихся кредитными организациями, страховыми организациями (за исключением потребительских кооперативов), инвестиционными фондами, негосударственными пенсионными фондами, профессиональными участниками рынка ценных бумаг, ломбардами;</w:t>
      </w:r>
    </w:p>
    <w:p w14:paraId="5F000000">
      <w:pPr>
        <w:ind w:firstLine="425" w:left="0" w:right="62"/>
        <w:rPr>
          <w:color w:val="000000"/>
        </w:rPr>
      </w:pPr>
      <w:r>
        <w:rPr>
          <w:color w:val="000000"/>
        </w:rPr>
        <w:t>2) я</w:t>
      </w:r>
      <w:r>
        <w:rPr>
          <w:color w:val="000000"/>
        </w:rPr>
        <w:t>вляющихся участниками соглашений о разделе продукции;</w:t>
      </w:r>
    </w:p>
    <w:p w14:paraId="60000000">
      <w:pPr>
        <w:ind w:firstLine="425" w:left="0" w:right="62"/>
        <w:rPr>
          <w:color w:val="000000"/>
        </w:rPr>
      </w:pPr>
      <w:r>
        <w:rPr>
          <w:color w:val="000000"/>
        </w:rPr>
        <w:t xml:space="preserve">3) </w:t>
      </w:r>
      <w:r>
        <w:rPr>
          <w:color w:val="000000"/>
        </w:rPr>
        <w:t>осуществляющих</w:t>
      </w:r>
      <w:r>
        <w:rPr>
          <w:color w:val="000000"/>
        </w:rPr>
        <w:t xml:space="preserve"> предпринимательскую деятельность в сфере игорного бизнеса;</w:t>
      </w:r>
    </w:p>
    <w:p w14:paraId="61000000">
      <w:pPr>
        <w:ind w:firstLine="425" w:left="0" w:right="62"/>
        <w:rPr>
          <w:color w:val="000000"/>
        </w:rPr>
      </w:pPr>
      <w:r>
        <w:rPr>
          <w:color w:val="000000"/>
        </w:rPr>
        <w:t xml:space="preserve">4) </w:t>
      </w:r>
      <w:r>
        <w:rPr>
          <w:color w:val="000000"/>
        </w:rPr>
        <w:t>являющихся в порядке, установленном законодательством Российской Федерации о валютном регулировании и валютном контроле, нерезидентами Российской Федерации, за исключением случаев, предусмотренных международными договорами Российской Федерации.</w:t>
      </w:r>
    </w:p>
    <w:p w14:paraId="62000000">
      <w:pPr>
        <w:ind w:firstLine="425" w:left="0" w:right="62"/>
        <w:rPr>
          <w:color w:val="000000"/>
        </w:rPr>
      </w:pPr>
      <w:r>
        <w:rPr>
          <w:color w:val="000000"/>
        </w:rPr>
        <w:t>7</w:t>
      </w:r>
      <w:r>
        <w:rPr>
          <w:color w:val="000000"/>
        </w:rPr>
        <w:t>. В оказании поддержки должно быть отказано в случае, если:</w:t>
      </w:r>
    </w:p>
    <w:p w14:paraId="63000000">
      <w:pPr>
        <w:numPr>
          <w:ilvl w:val="0"/>
          <w:numId w:val="4"/>
        </w:numPr>
        <w:spacing w:after="0" w:line="240" w:lineRule="auto"/>
        <w:ind w:firstLine="425" w:left="0" w:right="193"/>
        <w:rPr>
          <w:color w:val="000000"/>
        </w:rPr>
      </w:pPr>
      <w:r>
        <w:rPr>
          <w:color w:val="000000"/>
        </w:rPr>
        <w:t>не представлены документы, определенные муниципальными правовыми актами, принимаемыми в целях реализации муниципальных программ (подпрограмм), или представлены недостоверные сведения и документы;</w:t>
      </w:r>
    </w:p>
    <w:p w14:paraId="64000000">
      <w:pPr>
        <w:numPr>
          <w:ilvl w:val="0"/>
          <w:numId w:val="4"/>
        </w:numPr>
        <w:spacing w:after="0" w:line="240" w:lineRule="auto"/>
        <w:ind w:firstLine="425" w:left="0" w:right="193"/>
        <w:rPr>
          <w:color w:val="000000"/>
        </w:rPr>
      </w:pPr>
      <w:r>
        <w:rPr>
          <w:color w:val="000000"/>
        </w:rPr>
        <w:t>не выполнены условия оказания поддержки;</w:t>
      </w:r>
    </w:p>
    <w:p w14:paraId="65000000">
      <w:pPr>
        <w:numPr>
          <w:ilvl w:val="0"/>
          <w:numId w:val="4"/>
        </w:numPr>
        <w:spacing w:after="0" w:line="240" w:lineRule="auto"/>
        <w:ind w:firstLine="425" w:left="0" w:right="193"/>
        <w:rPr>
          <w:color w:val="000000"/>
        </w:rPr>
      </w:pPr>
      <w:r>
        <w:rPr>
          <w:color w:val="000000"/>
        </w:rPr>
        <w:t xml:space="preserve">ранее в отношении заявителя субъекта малого или среднего предпринимательства было принято решение об оказании аналогичной поддержки (поддержки, </w:t>
      </w:r>
      <w:r>
        <w:rPr>
          <w:color w:val="000000"/>
        </w:rPr>
        <w:t>условия</w:t>
      </w:r>
      <w:r>
        <w:rPr>
          <w:color w:val="000000"/>
        </w:rPr>
        <w:t xml:space="preserve"> оказания которой совпадают, включая форму, вид поддержки и цели ее оказания) и сроки ее оказания не истекли;</w:t>
      </w:r>
    </w:p>
    <w:p w14:paraId="66000000">
      <w:pPr>
        <w:spacing w:after="0" w:line="240" w:lineRule="auto"/>
        <w:ind w:firstLine="425" w:left="0" w:right="193"/>
        <w:rPr>
          <w:color w:val="000000"/>
          <w:sz w:val="28"/>
        </w:rPr>
      </w:pPr>
      <w:r>
        <w:rPr>
          <w:sz w:val="26"/>
        </w:rPr>
        <w:t xml:space="preserve">4) </w:t>
      </w:r>
      <w:r>
        <w:rPr>
          <w:sz w:val="28"/>
        </w:rPr>
        <w:t>с даты признания субъекта малого или среднего предпринимательства совершившим нарушение порядка и условий оказания поддержки прошло менее одного года, за исключением случая более раннего устранения субъектом малого или среднего предпринимательства такого нарушения при условии соблюдения им срока устранения такого нарушения, а в случае, если нарушение порядка и условий оказания поддержки связано с нецелевым использованием средств поддержки или представлением недостоверных сведений и документов, с даты признания субъекта малого или среднего предпринимательства совершившим такое нарушение прошло менее трех лет.</w:t>
      </w:r>
    </w:p>
    <w:p w14:paraId="67000000">
      <w:pPr>
        <w:ind w:firstLine="425" w:left="0" w:right="158"/>
        <w:rPr>
          <w:color w:val="000000"/>
        </w:rPr>
      </w:pPr>
      <w:r>
        <w:rPr>
          <w:color w:val="000000"/>
        </w:rPr>
        <w:t>8</w:t>
      </w:r>
      <w:r>
        <w:rPr>
          <w:color w:val="000000"/>
        </w:rPr>
        <w:t xml:space="preserve">. </w:t>
      </w:r>
      <w:r>
        <w:rPr>
          <w:color w:val="000000"/>
        </w:rPr>
        <w:t xml:space="preserve">Рассмотрение обращения заявителя осуществляется в соответствии с Порядком рассмотрения обращений субъектов малого и среднего предпринимательства в </w:t>
      </w:r>
      <w:r>
        <w:rPr>
          <w:color w:val="000000"/>
        </w:rPr>
        <w:t xml:space="preserve">Администрации города Донецка </w:t>
      </w:r>
      <w:r>
        <w:rPr>
          <w:color w:val="000000"/>
        </w:rPr>
        <w:t>согласно приложению 1 к настоящему Положению.</w:t>
      </w:r>
    </w:p>
    <w:p w14:paraId="68000000">
      <w:pPr>
        <w:ind w:firstLine="425" w:left="0" w:right="158"/>
        <w:rPr>
          <w:color w:val="000000"/>
        </w:rPr>
      </w:pPr>
      <w:r>
        <w:rPr>
          <w:color w:val="000000"/>
        </w:rPr>
        <w:t>Каждый субъект малого и среднего предпринимательства должен быть проинформирован о решении, принятом по такому обращению, в течение пяти дней со дня его принятия.</w:t>
      </w:r>
    </w:p>
    <w:p w14:paraId="69000000">
      <w:pPr>
        <w:ind w:firstLine="425" w:left="0" w:right="158"/>
        <w:rPr>
          <w:color w:val="000000"/>
        </w:rPr>
      </w:pPr>
      <w:r>
        <w:rPr>
          <w:color w:val="000000"/>
        </w:rPr>
        <w:t>9</w:t>
      </w:r>
      <w:r>
        <w:rPr>
          <w:color w:val="000000"/>
        </w:rPr>
        <w:t xml:space="preserve">. </w:t>
      </w:r>
      <w:r>
        <w:rPr>
          <w:color w:val="000000"/>
        </w:rPr>
        <w:t>Поддержка субъектов малого и среднего предпринимательства и организаций, образующих инфраструктуру поддержки субъектов малого и среднего предпринимательства, на территории</w:t>
      </w:r>
      <w:r>
        <w:rPr>
          <w:color w:val="000000"/>
        </w:rPr>
        <w:t xml:space="preserve"> города Донецка</w:t>
      </w:r>
      <w:r>
        <w:rPr>
          <w:color w:val="000000"/>
        </w:rPr>
        <w:t>, может осуществляться в следующих формах:</w:t>
      </w:r>
    </w:p>
    <w:p w14:paraId="6A000000">
      <w:pPr>
        <w:ind w:firstLine="425" w:left="0" w:right="158"/>
        <w:rPr>
          <w:color w:val="000000"/>
        </w:rPr>
      </w:pPr>
      <w:r>
        <w:rPr>
          <w:color w:val="000000"/>
        </w:rPr>
        <w:t xml:space="preserve">1) </w:t>
      </w:r>
      <w:r>
        <w:rPr>
          <w:color w:val="000000"/>
        </w:rPr>
        <w:t>финансовая;</w:t>
      </w:r>
      <w:r>
        <w:rPr>
          <w:color w:val="000000"/>
        </w:rPr>
        <w:drawing>
          <wp:inline>
            <wp:extent cx="3175" cy="3175"/>
            <wp:effectExtent b="0" l="0" r="0" t="0"/>
            <wp:docPr hidden="false" id="4" name="Picture 4"/>
            <a:graphic>
              <a:graphicData uri="http://schemas.openxmlformats.org/drawingml/2006/picture">
                <pic:pic>
                  <pic:nvPicPr>
                    <pic:cNvPr hidden="false" id="3" name="Picture 3"/>
                    <pic:cNvPicPr preferRelativeResize="true"/>
                  </pic:nvPicPr>
                  <pic:blipFill>
                    <a:blip r:embed="rId5"/>
                    <a:srcRect b="0" l="0" r="0" t="0"/>
                    <a:stretch/>
                  </pic:blipFill>
                  <pic:spPr>
                    <a:xfrm flipH="false" flipV="false" rot="0">
                      <a:ext cx="3175" cy="3175"/>
                    </a:xfrm>
                    <a:prstGeom prst="rect"/>
                  </pic:spPr>
                </pic:pic>
              </a:graphicData>
            </a:graphic>
          </wp:inline>
        </w:drawing>
      </w:r>
    </w:p>
    <w:p w14:paraId="6B000000">
      <w:pPr>
        <w:ind w:firstLine="425" w:left="0" w:right="158"/>
        <w:rPr>
          <w:color w:val="000000"/>
        </w:rPr>
      </w:pPr>
      <w:r>
        <w:rPr>
          <w:color w:val="000000"/>
        </w:rPr>
        <w:t xml:space="preserve">2) </w:t>
      </w:r>
      <w:r>
        <w:rPr>
          <w:color w:val="000000"/>
        </w:rPr>
        <w:t>имущественная;</w:t>
      </w:r>
    </w:p>
    <w:p w14:paraId="6C000000">
      <w:pPr>
        <w:ind w:firstLine="425" w:left="0" w:right="158"/>
        <w:rPr>
          <w:color w:val="000000"/>
        </w:rPr>
      </w:pPr>
      <w:r>
        <w:rPr>
          <w:color w:val="000000"/>
        </w:rPr>
        <w:t xml:space="preserve">3) </w:t>
      </w:r>
      <w:r>
        <w:rPr>
          <w:color w:val="000000"/>
        </w:rPr>
        <w:t>информационная;</w:t>
      </w:r>
    </w:p>
    <w:p w14:paraId="6D000000">
      <w:pPr>
        <w:ind w:firstLine="425" w:left="0" w:right="158"/>
        <w:rPr>
          <w:color w:val="000000"/>
        </w:rPr>
      </w:pPr>
      <w:r>
        <w:rPr>
          <w:color w:val="000000"/>
        </w:rPr>
        <w:t xml:space="preserve">4) </w:t>
      </w:r>
      <w:r>
        <w:rPr>
          <w:color w:val="000000"/>
        </w:rPr>
        <w:t xml:space="preserve">консультационная; </w:t>
      </w:r>
    </w:p>
    <w:p w14:paraId="6E000000">
      <w:pPr>
        <w:ind w:firstLine="425" w:left="0" w:right="158"/>
        <w:rPr>
          <w:color w:val="000000"/>
        </w:rPr>
      </w:pPr>
      <w:r>
        <w:rPr>
          <w:color w:val="000000"/>
        </w:rPr>
        <w:t xml:space="preserve">5) </w:t>
      </w:r>
      <w:r>
        <w:rPr>
          <w:color w:val="000000"/>
        </w:rPr>
        <w:t>иные формы поддержки, предусмотренные ст</w:t>
      </w:r>
      <w:r>
        <w:rPr>
          <w:color w:val="000000"/>
        </w:rPr>
        <w:t>атьей</w:t>
      </w:r>
      <w:r>
        <w:rPr>
          <w:color w:val="000000"/>
        </w:rPr>
        <w:t xml:space="preserve"> 16 Федеральн</w:t>
      </w:r>
      <w:r>
        <w:rPr>
          <w:color w:val="000000"/>
        </w:rPr>
        <w:t>ого закона</w:t>
      </w:r>
      <w:r>
        <w:rPr>
          <w:color w:val="000000"/>
        </w:rPr>
        <w:t xml:space="preserve"> № 209-ФЗ».</w:t>
      </w:r>
    </w:p>
    <w:p w14:paraId="6F000000">
      <w:pPr>
        <w:ind w:firstLine="425" w:left="0" w:right="158"/>
        <w:rPr>
          <w:color w:val="000000"/>
        </w:rPr>
      </w:pPr>
      <w:r>
        <w:rPr>
          <w:color w:val="000000"/>
        </w:rPr>
        <w:t>10</w:t>
      </w:r>
      <w:r>
        <w:rPr>
          <w:color w:val="000000"/>
        </w:rPr>
        <w:t xml:space="preserve">. </w:t>
      </w:r>
      <w:r>
        <w:rPr>
          <w:color w:val="000000"/>
        </w:rPr>
        <w:t>Оказание финансовой поддержки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  <w:r>
        <w:rPr>
          <w:color w:val="000000"/>
        </w:rPr>
        <w:t>, на территории города Донецка</w:t>
      </w:r>
      <w:r>
        <w:rPr>
          <w:color w:val="000000"/>
        </w:rPr>
        <w:t xml:space="preserve">, может осуществляться в соответствии с законодательством Российской Федерации за счет средств бюджета </w:t>
      </w:r>
      <w:r>
        <w:rPr>
          <w:color w:val="000000"/>
        </w:rPr>
        <w:t>города Донецка</w:t>
      </w:r>
      <w:r>
        <w:rPr>
          <w:color w:val="000000"/>
        </w:rPr>
        <w:t xml:space="preserve"> путем предоставления субсидий, бюджетных инвестиций, государственных и муниципальных гарантий по обязательствам субъектов малого и среднего предпринимательства и организаций, образующих инфраструктуру поддержки субъектов малого и</w:t>
      </w:r>
      <w:r>
        <w:rPr>
          <w:color w:val="000000"/>
        </w:rPr>
        <w:t xml:space="preserve"> среднего предпринимательства</w:t>
      </w:r>
      <w:r>
        <w:rPr>
          <w:color w:val="000000"/>
        </w:rPr>
        <w:t>, на территории города Донецка</w:t>
      </w:r>
      <w:r>
        <w:rPr>
          <w:color w:val="000000"/>
        </w:rPr>
        <w:t>.</w:t>
      </w:r>
    </w:p>
    <w:p w14:paraId="70000000">
      <w:pPr>
        <w:ind w:firstLine="567" w:left="0" w:right="144"/>
        <w:rPr>
          <w:color w:val="000000"/>
        </w:rPr>
      </w:pPr>
      <w:r>
        <w:rPr>
          <w:color w:val="000000"/>
        </w:rPr>
        <w:t>Финансовая поддержка субъектов малого и среднего предпринимательства, предусмотренная настоящим пунктом, не может оказываться субъектам малого и среднего предпринимательства, осуществляющим производство и (или) реализацию подакцизных товаров, а также добычу и (или) реализацию полезных ископаемых, за исключением общераспространенных полезных ископаемых, если иное не предусмотрено Правительством Российской Федерации.</w:t>
      </w:r>
    </w:p>
    <w:p w14:paraId="71000000">
      <w:pPr>
        <w:ind w:firstLine="425" w:left="0" w:right="62"/>
        <w:rPr>
          <w:color w:val="000000"/>
        </w:rPr>
      </w:pPr>
      <w:r>
        <w:rPr>
          <w:color w:val="000000"/>
        </w:rPr>
        <w:t>1</w:t>
      </w:r>
      <w:r>
        <w:rPr>
          <w:color w:val="000000"/>
        </w:rPr>
        <w:t>1</w:t>
      </w:r>
      <w:r>
        <w:rPr>
          <w:color w:val="000000"/>
        </w:rPr>
        <w:t xml:space="preserve">. </w:t>
      </w:r>
      <w:r>
        <w:rPr>
          <w:color w:val="000000"/>
        </w:rPr>
        <w:t>Оказание имущественной поддержки субъектам малого и среднего предпринимательства, а также организациям, образующим инфраструктуру поддержки субъектов малого</w:t>
      </w:r>
      <w:r>
        <w:rPr>
          <w:color w:val="000000"/>
        </w:rPr>
        <w:t xml:space="preserve"> и среднего предпринимательства, на территории города Донецка, </w:t>
      </w:r>
      <w:r>
        <w:rPr>
          <w:color w:val="000000"/>
        </w:rPr>
        <w:t>осуществляется в виде передачи во владение и (или) в пользование муниципального имущества, в том числе земельных участков (за исключением земельных участков, предназначенных для ведения личного подсобного хозяйства, огородничества, садоводства, индивидуального жилищного строительства), зданий, строений, сооружений, нежилых помещений</w:t>
      </w:r>
      <w:r>
        <w:rPr>
          <w:color w:val="000000"/>
        </w:rPr>
        <w:t xml:space="preserve">, </w:t>
      </w:r>
      <w:r>
        <w:rPr>
          <w:color w:val="000000"/>
        </w:rPr>
        <w:t xml:space="preserve">оборудования, машин, механизмов, установок, </w:t>
      </w:r>
      <w:r>
        <w:rPr>
          <w:color w:val="000000"/>
        </w:rPr>
        <w:t>транспортных средств, инвентаря, инструментов, на возмездной основе, безвозмездной основе или на льготных условиях в соответствии с муниципальными программами (подпрограммами).</w:t>
      </w:r>
      <w:r>
        <w:rPr>
          <w:color w:val="000000"/>
        </w:rPr>
        <w:t xml:space="preserve"> Указанное имущество должно использоваться по целевому назначению.</w:t>
      </w:r>
    </w:p>
    <w:p w14:paraId="72000000">
      <w:pPr>
        <w:ind w:firstLine="425" w:left="0" w:right="62"/>
        <w:rPr>
          <w:color w:val="000000"/>
        </w:rPr>
      </w:pPr>
      <w:r>
        <w:rPr>
          <w:color w:val="000000"/>
        </w:rPr>
        <w:t>1</w:t>
      </w:r>
      <w:r>
        <w:rPr>
          <w:color w:val="000000"/>
        </w:rPr>
        <w:t>2</w:t>
      </w:r>
      <w:r>
        <w:rPr>
          <w:color w:val="000000"/>
        </w:rPr>
        <w:t xml:space="preserve">. </w:t>
      </w:r>
      <w:r>
        <w:rPr>
          <w:color w:val="000000"/>
        </w:rPr>
        <w:t xml:space="preserve">Оказание информационной поддержки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</w:t>
      </w:r>
      <w:r>
        <w:rPr>
          <w:color w:val="000000"/>
        </w:rPr>
        <w:t xml:space="preserve">на территории города Донецка, </w:t>
      </w:r>
      <w:r>
        <w:rPr>
          <w:color w:val="000000"/>
        </w:rPr>
        <w:t>осуществляется в виде создания муниципальных информационных систем, официальных сайтов информационной поддержки субъектов малого и среднего предпринимательства в сети «Интернет» и информационно</w:t>
      </w:r>
      <w:r>
        <w:rPr>
          <w:color w:val="000000"/>
        </w:rPr>
        <w:t>-</w:t>
      </w:r>
      <w:r>
        <w:rPr>
          <w:color w:val="000000"/>
        </w:rPr>
        <w:t>телекоммуникационных сетей и обеспечения их функционирования в целях поддержки субъектов малого и среднего предпринимательства, создаваемых в целях обеспечения</w:t>
      </w:r>
      <w:r>
        <w:rPr>
          <w:color w:val="000000"/>
        </w:rPr>
        <w:t xml:space="preserve"> субъектов малого и среднего предпринимательства и организаций, образующих инфраструктуру поддержки субъектов малого и среднего предпринимательства,</w:t>
      </w:r>
      <w:r>
        <w:rPr>
          <w:color w:val="000000"/>
        </w:rPr>
        <w:t xml:space="preserve"> на территории города Донецка,</w:t>
      </w:r>
      <w:r>
        <w:rPr>
          <w:color w:val="000000"/>
        </w:rPr>
        <w:t xml:space="preserve"> и</w:t>
      </w:r>
      <w:r>
        <w:rPr>
          <w:color w:val="000000"/>
        </w:rPr>
        <w:t xml:space="preserve">нформацией, предусмотренной статьей </w:t>
      </w:r>
      <w:r>
        <w:rPr>
          <w:color w:val="000000"/>
        </w:rPr>
        <w:t>19</w:t>
      </w:r>
      <w:r>
        <w:rPr>
          <w:color w:val="000000"/>
        </w:rPr>
        <w:t xml:space="preserve"> </w:t>
      </w:r>
      <w:r>
        <w:rPr>
          <w:color w:val="000000"/>
        </w:rPr>
        <w:t xml:space="preserve"> Федерального закона  № 209-ФЗ</w:t>
      </w:r>
      <w:r>
        <w:rPr>
          <w:color w:val="000000"/>
        </w:rPr>
        <w:t>.</w:t>
      </w:r>
    </w:p>
    <w:p w14:paraId="73000000">
      <w:pPr>
        <w:ind w:firstLine="425" w:left="0" w:right="62"/>
        <w:rPr>
          <w:color w:val="000000"/>
        </w:rPr>
      </w:pPr>
      <w:r>
        <w:rPr>
          <w:color w:val="000000"/>
        </w:rPr>
        <w:t>1</w:t>
      </w:r>
      <w:r>
        <w:rPr>
          <w:color w:val="000000"/>
        </w:rPr>
        <w:t>3</w:t>
      </w:r>
      <w:r>
        <w:rPr>
          <w:color w:val="000000"/>
        </w:rPr>
        <w:t xml:space="preserve">. </w:t>
      </w:r>
      <w:r>
        <w:rPr>
          <w:color w:val="000000"/>
        </w:rPr>
        <w:t>Информация, указанная в пункте 1</w:t>
      </w:r>
      <w:r>
        <w:rPr>
          <w:color w:val="000000"/>
        </w:rPr>
        <w:t>2</w:t>
      </w:r>
      <w:r>
        <w:rPr>
          <w:color w:val="000000"/>
        </w:rPr>
        <w:t xml:space="preserve"> настоящего Положения, является общедоступной и размещается в сети «</w:t>
      </w:r>
      <w:r>
        <w:rPr>
          <w:color w:val="000000"/>
        </w:rPr>
        <w:t>Интернет» на официальном сайте А</w:t>
      </w:r>
      <w:r>
        <w:rPr>
          <w:color w:val="000000"/>
        </w:rPr>
        <w:t xml:space="preserve">дминистрации </w:t>
      </w:r>
      <w:r>
        <w:rPr>
          <w:color w:val="000000"/>
        </w:rPr>
        <w:t xml:space="preserve">города Донецка </w:t>
      </w:r>
      <w:r>
        <w:rPr>
          <w:color w:val="000000"/>
        </w:rPr>
        <w:t>и (или) созданных официальных сайтах информационной поддержки субъектов малого и среднего предпринимательства в сети «Интернет».</w:t>
      </w:r>
    </w:p>
    <w:p w14:paraId="74000000">
      <w:pPr>
        <w:ind w:firstLine="425" w:left="0" w:right="62"/>
        <w:rPr>
          <w:color w:val="000000"/>
        </w:rPr>
      </w:pPr>
      <w:r>
        <w:rPr>
          <w:color w:val="000000"/>
        </w:rPr>
        <w:t>1</w:t>
      </w:r>
      <w:r>
        <w:rPr>
          <w:color w:val="000000"/>
        </w:rPr>
        <w:t>4</w:t>
      </w:r>
      <w:r>
        <w:rPr>
          <w:color w:val="000000"/>
        </w:rPr>
        <w:t>. Оказание консультационной поддержки субъектам малого и среднего предпринимательства может осуществляться в виде:</w:t>
      </w:r>
    </w:p>
    <w:p w14:paraId="75000000">
      <w:pPr>
        <w:numPr>
          <w:ilvl w:val="0"/>
          <w:numId w:val="5"/>
        </w:numPr>
        <w:ind w:firstLine="425" w:left="0" w:right="96"/>
        <w:rPr>
          <w:color w:val="000000"/>
        </w:rPr>
      </w:pPr>
      <w:r>
        <w:rPr>
          <w:color w:val="000000"/>
        </w:rPr>
        <w:t>создания организаций, образующих инфраструктуру поддержки субъектов малого и среднего предпринимательства и оказывающих консультационные услуги субъектам малого и среднего предпринимательства, и обеспечения деятельности таких организаций;</w:t>
      </w:r>
    </w:p>
    <w:p w14:paraId="76000000">
      <w:pPr>
        <w:numPr>
          <w:ilvl w:val="0"/>
          <w:numId w:val="5"/>
        </w:numPr>
        <w:ind w:firstLine="425" w:left="0" w:right="96"/>
        <w:rPr>
          <w:color w:val="000000"/>
        </w:rPr>
      </w:pPr>
      <w:r>
        <w:rPr>
          <w:color w:val="000000"/>
        </w:rPr>
        <w:t>компенсации затрат, произведенных и документально подтвержденных субъектами малого и среднего предпринимательства, на оплату консультационных услуг.</w:t>
      </w:r>
    </w:p>
    <w:p w14:paraId="77000000">
      <w:pPr>
        <w:ind w:firstLine="425" w:left="0" w:right="62"/>
        <w:rPr>
          <w:color w:val="000000"/>
        </w:rPr>
      </w:pPr>
      <w:r>
        <w:rPr>
          <w:color w:val="000000"/>
        </w:rPr>
        <w:t>1</w:t>
      </w:r>
      <w:r>
        <w:rPr>
          <w:color w:val="000000"/>
        </w:rPr>
        <w:t>5</w:t>
      </w:r>
      <w:r>
        <w:rPr>
          <w:color w:val="000000"/>
        </w:rPr>
        <w:t xml:space="preserve">. </w:t>
      </w:r>
      <w:r>
        <w:rPr>
          <w:color w:val="000000"/>
        </w:rPr>
        <w:t>Консультационная поддержка также может оказываться в виде проведения консультаций</w:t>
      </w:r>
      <w:r>
        <w:rPr>
          <w:color w:val="000000"/>
        </w:rPr>
        <w:t xml:space="preserve"> по вопросам</w:t>
      </w:r>
      <w:r>
        <w:rPr>
          <w:color w:val="000000"/>
        </w:rPr>
        <w:t>:</w:t>
      </w:r>
    </w:p>
    <w:p w14:paraId="78000000">
      <w:pPr>
        <w:ind w:firstLine="425" w:left="0" w:right="62"/>
        <w:rPr>
          <w:color w:val="000000"/>
        </w:rPr>
      </w:pPr>
      <w:r>
        <w:rPr>
          <w:color w:val="000000"/>
        </w:rPr>
        <w:t xml:space="preserve">1) </w:t>
      </w:r>
      <w:r>
        <w:rPr>
          <w:color w:val="000000"/>
        </w:rPr>
        <w:t>применения действующего законодательства, регулирующего деятельность субъектов малого и среднего предпринимательства;</w:t>
      </w:r>
    </w:p>
    <w:p w14:paraId="79000000">
      <w:pPr>
        <w:ind w:firstLine="425" w:left="0" w:right="62"/>
        <w:rPr>
          <w:color w:val="000000"/>
        </w:rPr>
      </w:pPr>
      <w:r>
        <w:rPr>
          <w:color w:val="000000"/>
        </w:rPr>
        <w:t>2)</w:t>
      </w:r>
      <w:r>
        <w:rPr>
          <w:color w:val="000000"/>
        </w:rPr>
        <w:t xml:space="preserve"> регистрации субъектов предпринимательской деятельности;</w:t>
      </w:r>
    </w:p>
    <w:p w14:paraId="7A000000">
      <w:pPr>
        <w:ind w:firstLine="425" w:left="0" w:right="62"/>
        <w:rPr>
          <w:color w:val="000000"/>
        </w:rPr>
      </w:pPr>
      <w:r>
        <w:rPr>
          <w:color w:val="000000"/>
        </w:rPr>
        <w:t>3)</w:t>
      </w:r>
      <w:r>
        <w:rPr>
          <w:color w:val="000000"/>
        </w:rPr>
        <w:t xml:space="preserve"> лицензирования отдельных видов деятельности; </w:t>
      </w:r>
    </w:p>
    <w:p w14:paraId="7B000000">
      <w:pPr>
        <w:ind w:firstLine="425" w:left="0" w:right="62"/>
        <w:rPr>
          <w:color w:val="000000"/>
        </w:rPr>
      </w:pPr>
      <w:r>
        <w:rPr>
          <w:color w:val="000000"/>
        </w:rPr>
        <w:t xml:space="preserve">4) </w:t>
      </w:r>
      <w:r>
        <w:rPr>
          <w:color w:val="000000"/>
        </w:rPr>
        <w:t>существующих форм</w:t>
      </w:r>
      <w:r>
        <w:rPr>
          <w:color w:val="000000"/>
        </w:rPr>
        <w:t xml:space="preserve"> и источников</w:t>
      </w:r>
      <w:r>
        <w:rPr>
          <w:color w:val="000000"/>
        </w:rPr>
        <w:t xml:space="preserve"> финансовой поддержки малого и среднего предпринимательства;</w:t>
      </w:r>
    </w:p>
    <w:p w14:paraId="7C000000">
      <w:pPr>
        <w:ind w:firstLine="425" w:left="0" w:right="62"/>
        <w:rPr>
          <w:color w:val="000000"/>
        </w:rPr>
      </w:pPr>
      <w:r>
        <w:rPr>
          <w:color w:val="000000"/>
        </w:rPr>
        <w:t xml:space="preserve">5) </w:t>
      </w:r>
      <w:r>
        <w:rPr>
          <w:color w:val="000000"/>
        </w:rPr>
        <w:t>организации торговли, общественного питания и бытового обслуживания;</w:t>
      </w:r>
    </w:p>
    <w:p w14:paraId="7D000000">
      <w:pPr>
        <w:ind w:firstLine="425" w:left="0" w:right="62"/>
        <w:rPr>
          <w:color w:val="000000"/>
        </w:rPr>
      </w:pPr>
      <w:r>
        <w:rPr>
          <w:color w:val="000000"/>
        </w:rPr>
        <w:t>6)</w:t>
      </w:r>
      <w:r>
        <w:rPr>
          <w:color w:val="000000"/>
        </w:rPr>
        <w:t xml:space="preserve"> </w:t>
      </w:r>
      <w:r>
        <w:rPr>
          <w:color w:val="000000"/>
        </w:rPr>
        <w:t>предо</w:t>
      </w:r>
      <w:r>
        <w:rPr>
          <w:color w:val="000000"/>
        </w:rPr>
        <w:t xml:space="preserve">ставления в аренду муниципального имущества и земельных участков; </w:t>
      </w:r>
    </w:p>
    <w:p w14:paraId="7E000000">
      <w:pPr>
        <w:ind w:firstLine="425" w:left="0" w:right="62"/>
        <w:rPr>
          <w:color w:val="000000"/>
        </w:rPr>
      </w:pPr>
      <w:r>
        <w:rPr>
          <w:color w:val="000000"/>
        </w:rPr>
        <w:t xml:space="preserve">7) </w:t>
      </w:r>
      <w:r>
        <w:rPr>
          <w:color w:val="000000"/>
        </w:rPr>
        <w:t>осуществления закупок товаров, работ, услуг для обеспечения муниципальных нужд.</w:t>
      </w:r>
    </w:p>
    <w:p w14:paraId="7F000000">
      <w:pPr>
        <w:ind w:firstLine="425" w:left="0" w:right="62"/>
        <w:rPr>
          <w:color w:val="000000"/>
        </w:rPr>
      </w:pPr>
      <w:r>
        <w:rPr>
          <w:color w:val="000000"/>
        </w:rPr>
        <w:t>16. Консультационная поддержка субъектов малого и среднего предпринимательства может оказываться в следующих формах:</w:t>
      </w:r>
    </w:p>
    <w:p w14:paraId="80000000">
      <w:pPr>
        <w:ind w:firstLine="425" w:left="0" w:right="125"/>
        <w:rPr>
          <w:color w:val="000000"/>
        </w:rPr>
      </w:pPr>
      <w:r>
        <w:rPr>
          <w:color w:val="000000"/>
        </w:rPr>
        <w:t xml:space="preserve">1) </w:t>
      </w:r>
      <w:r>
        <w:rPr>
          <w:color w:val="000000"/>
        </w:rPr>
        <w:t xml:space="preserve">в устной форме </w:t>
      </w:r>
      <w:r>
        <w:rPr>
          <w:color w:val="000000"/>
        </w:rPr>
        <w:t>-</w:t>
      </w:r>
      <w:r>
        <w:rPr>
          <w:color w:val="000000"/>
        </w:rPr>
        <w:t xml:space="preserve"> лицам, обратившимся посредством телефонной связи или лично; </w:t>
      </w:r>
    </w:p>
    <w:p w14:paraId="81000000">
      <w:pPr>
        <w:ind w:firstLine="425" w:left="0" w:right="125"/>
        <w:rPr>
          <w:color w:val="000000"/>
        </w:rPr>
      </w:pPr>
      <w:r>
        <w:rPr>
          <w:color w:val="000000"/>
        </w:rPr>
        <w:t xml:space="preserve">2) </w:t>
      </w:r>
      <w:r>
        <w:rPr>
          <w:color w:val="000000"/>
        </w:rPr>
        <w:t>в письменной форме</w:t>
      </w:r>
      <w:r>
        <w:rPr>
          <w:color w:val="000000"/>
        </w:rPr>
        <w:t xml:space="preserve"> -</w:t>
      </w:r>
      <w:r>
        <w:rPr>
          <w:color w:val="000000"/>
        </w:rPr>
        <w:t xml:space="preserve"> юридическим и физическим лицам по обращениям.</w:t>
      </w:r>
    </w:p>
    <w:p w14:paraId="82000000">
      <w:pPr>
        <w:ind w:firstLine="567" w:left="0" w:right="62"/>
        <w:rPr>
          <w:color w:val="000000"/>
        </w:rPr>
      </w:pPr>
      <w:r>
        <w:rPr>
          <w:color w:val="000000"/>
        </w:rPr>
        <w:t>17</w:t>
      </w:r>
      <w:r>
        <w:rPr>
          <w:color w:val="000000"/>
        </w:rPr>
        <w:t xml:space="preserve">. </w:t>
      </w:r>
      <w:r>
        <w:rPr>
          <w:color w:val="000000"/>
        </w:rPr>
        <w:t xml:space="preserve"> В</w:t>
      </w:r>
      <w:r>
        <w:rPr>
          <w:color w:val="000000"/>
        </w:rPr>
        <w:t xml:space="preserve">едение реестра субъектов малого и среднего предпринимательства и организаций, образующих инфраструктуру поддержки субъектов малого </w:t>
      </w:r>
      <w:r>
        <w:rPr>
          <w:color w:val="000000"/>
        </w:rPr>
        <w:t>и среднего предпринимательства</w:t>
      </w:r>
      <w:r>
        <w:rPr>
          <w:color w:val="000000"/>
        </w:rPr>
        <w:t xml:space="preserve">, на территории города Донецка </w:t>
      </w:r>
      <w:r>
        <w:rPr>
          <w:color w:val="000000"/>
        </w:rPr>
        <w:t xml:space="preserve">- </w:t>
      </w:r>
      <w:r>
        <w:rPr>
          <w:color w:val="000000"/>
        </w:rPr>
        <w:t>получателей поддержки на территории</w:t>
      </w:r>
      <w:r>
        <w:rPr>
          <w:color w:val="000000"/>
        </w:rPr>
        <w:t xml:space="preserve"> города Донецка</w:t>
      </w:r>
      <w:r>
        <w:rPr>
          <w:color w:val="000000"/>
        </w:rPr>
        <w:t xml:space="preserve"> </w:t>
      </w:r>
      <w:r>
        <w:rPr>
          <w:color w:val="000000"/>
        </w:rPr>
        <w:t xml:space="preserve"> </w:t>
      </w:r>
      <w:r>
        <w:rPr>
          <w:color w:val="000000"/>
        </w:rPr>
        <w:t>осуществляется должностными лицами Администрации города Донецка в соответствии с их компетенцией</w:t>
      </w:r>
      <w:r>
        <w:rPr>
          <w:color w:val="000000"/>
        </w:rPr>
        <w:t xml:space="preserve">, </w:t>
      </w:r>
      <w:r>
        <w:rPr>
          <w:color w:val="000000"/>
        </w:rPr>
        <w:t>по форме согласно приложению 2 к настоящему Положению.</w:t>
      </w:r>
    </w:p>
    <w:p w14:paraId="83000000">
      <w:pPr>
        <w:ind w:firstLine="567" w:left="0" w:right="62"/>
        <w:rPr>
          <w:color w:val="000000"/>
        </w:rPr>
      </w:pPr>
      <w:r>
        <w:rPr>
          <w:color w:val="000000"/>
        </w:rPr>
        <w:t>Информация, содержащаяся в реестре субъектов малого и среднего предпринимательства и организаций, образующих инфраструктуру поддержки субъектов малого и среднего предпринимательства,</w:t>
      </w:r>
      <w:r>
        <w:rPr>
          <w:color w:val="000000"/>
        </w:rPr>
        <w:t xml:space="preserve"> на территории города Донецка</w:t>
      </w:r>
      <w:r>
        <w:rPr>
          <w:color w:val="000000"/>
        </w:rPr>
        <w:t xml:space="preserve"> </w:t>
      </w:r>
      <w:r>
        <w:rPr>
          <w:color w:val="000000"/>
        </w:rPr>
        <w:t xml:space="preserve">- </w:t>
      </w:r>
      <w:r>
        <w:rPr>
          <w:color w:val="000000"/>
        </w:rPr>
        <w:t>получателей поддержки является общедоступной.</w:t>
      </w:r>
    </w:p>
    <w:p w14:paraId="84000000">
      <w:pPr>
        <w:ind w:firstLine="851" w:left="0" w:right="62"/>
        <w:rPr>
          <w:color w:val="FF0000"/>
        </w:rPr>
      </w:pPr>
    </w:p>
    <w:p w14:paraId="85000000">
      <w:pPr>
        <w:pStyle w:val="Style_2"/>
        <w:ind w:firstLine="0" w:left="0"/>
        <w:contextualSpacing w:val="1"/>
        <w:jc w:val="both"/>
      </w:pPr>
      <w:r>
        <w:rPr>
          <w:rFonts w:ascii="Times New Roman" w:hAnsi="Times New Roman"/>
          <w:sz w:val="28"/>
        </w:rPr>
        <w:t xml:space="preserve"> </w:t>
      </w:r>
    </w:p>
    <w:p w14:paraId="86000000">
      <w:pPr>
        <w:pStyle w:val="Style_2"/>
        <w:ind w:firstLine="0" w:left="0"/>
        <w:contextualSpacing w:val="1"/>
        <w:jc w:val="both"/>
      </w:pPr>
    </w:p>
    <w:p w14:paraId="87000000">
      <w:pPr>
        <w:pStyle w:val="Style_2"/>
        <w:ind w:firstLine="0" w:left="0"/>
        <w:contextualSpacing w:val="1"/>
        <w:jc w:val="both"/>
      </w:pPr>
    </w:p>
    <w:p w14:paraId="88000000">
      <w:pPr>
        <w:pStyle w:val="Style_2"/>
        <w:ind w:firstLine="0" w:left="0"/>
        <w:contextualSpacing w:val="1"/>
        <w:jc w:val="both"/>
      </w:pPr>
    </w:p>
    <w:p w14:paraId="89000000">
      <w:pPr>
        <w:pStyle w:val="Style_2"/>
        <w:ind w:firstLine="0" w:left="0"/>
        <w:contextualSpacing w:val="1"/>
        <w:jc w:val="both"/>
      </w:pPr>
    </w:p>
    <w:p w14:paraId="8A000000">
      <w:pPr>
        <w:pStyle w:val="Style_2"/>
        <w:ind w:firstLine="0" w:left="0"/>
        <w:contextualSpacing w:val="1"/>
        <w:jc w:val="both"/>
      </w:pPr>
    </w:p>
    <w:p w14:paraId="8B000000">
      <w:pPr>
        <w:pStyle w:val="Style_2"/>
        <w:ind w:firstLine="0" w:left="0"/>
        <w:contextualSpacing w:val="1"/>
        <w:jc w:val="both"/>
      </w:pPr>
    </w:p>
    <w:p w14:paraId="8C000000">
      <w:pPr>
        <w:pStyle w:val="Style_2"/>
        <w:ind w:firstLine="0" w:left="0"/>
        <w:contextualSpacing w:val="1"/>
        <w:jc w:val="both"/>
      </w:pPr>
    </w:p>
    <w:p w14:paraId="8D000000">
      <w:pPr>
        <w:pStyle w:val="Style_2"/>
        <w:ind w:firstLine="0" w:left="0"/>
        <w:contextualSpacing w:val="1"/>
        <w:jc w:val="both"/>
      </w:pPr>
      <w:r>
        <w:rPr>
          <w:rFonts w:ascii="Times New Roman" w:hAnsi="Times New Roman"/>
          <w:sz w:val="28"/>
        </w:rPr>
        <w:t xml:space="preserve">   Управляющий делами </w:t>
      </w:r>
    </w:p>
    <w:p w14:paraId="8E000000">
      <w:pPr>
        <w:pStyle w:val="Style_2"/>
        <w:ind w:firstLine="0" w:left="0"/>
        <w:contextualSpacing w:val="1"/>
        <w:jc w:val="both"/>
      </w:pPr>
      <w:r>
        <w:rPr>
          <w:rFonts w:ascii="Times New Roman" w:hAnsi="Times New Roman"/>
          <w:sz w:val="28"/>
        </w:rPr>
        <w:t>Администрации города Донецка                                                    Д.В. Китаева</w:t>
      </w:r>
    </w:p>
    <w:p w14:paraId="8F000000">
      <w:pPr>
        <w:ind w:hanging="992" w:left="6379"/>
        <w:jc w:val="center"/>
      </w:pPr>
    </w:p>
    <w:p w14:paraId="90000000">
      <w:pPr>
        <w:ind w:hanging="992" w:left="6379"/>
        <w:jc w:val="center"/>
      </w:pPr>
    </w:p>
    <w:p w14:paraId="91000000">
      <w:pPr>
        <w:ind w:hanging="992" w:left="6379"/>
        <w:jc w:val="center"/>
      </w:pPr>
    </w:p>
    <w:p w14:paraId="92000000">
      <w:pPr>
        <w:ind w:hanging="992" w:left="6379"/>
        <w:jc w:val="center"/>
      </w:pPr>
    </w:p>
    <w:p w14:paraId="93000000">
      <w:pPr>
        <w:ind w:hanging="992" w:left="6379"/>
        <w:jc w:val="center"/>
      </w:pPr>
    </w:p>
    <w:p w14:paraId="94000000">
      <w:pPr>
        <w:ind w:hanging="992" w:left="6379"/>
        <w:jc w:val="center"/>
      </w:pPr>
    </w:p>
    <w:p w14:paraId="95000000">
      <w:pPr>
        <w:ind w:hanging="992" w:left="6379"/>
        <w:jc w:val="center"/>
      </w:pPr>
    </w:p>
    <w:p w14:paraId="96000000">
      <w:pPr>
        <w:ind w:hanging="992" w:left="6379"/>
        <w:jc w:val="center"/>
      </w:pPr>
    </w:p>
    <w:p w14:paraId="97000000">
      <w:pPr>
        <w:ind w:hanging="992" w:left="6379"/>
        <w:jc w:val="center"/>
      </w:pPr>
    </w:p>
    <w:p w14:paraId="98000000">
      <w:pPr>
        <w:ind w:hanging="992" w:left="6379"/>
        <w:jc w:val="center"/>
      </w:pPr>
    </w:p>
    <w:p w14:paraId="99000000">
      <w:pPr>
        <w:ind w:hanging="992" w:left="6379"/>
        <w:jc w:val="center"/>
      </w:pPr>
    </w:p>
    <w:p w14:paraId="9A000000">
      <w:pPr>
        <w:ind w:hanging="992" w:left="6379"/>
        <w:jc w:val="center"/>
      </w:pPr>
    </w:p>
    <w:p w14:paraId="9B000000">
      <w:pPr>
        <w:ind w:hanging="992" w:left="6379"/>
        <w:jc w:val="center"/>
      </w:pPr>
    </w:p>
    <w:p w14:paraId="9C000000">
      <w:pPr>
        <w:ind w:hanging="992" w:left="6379"/>
        <w:jc w:val="center"/>
      </w:pPr>
    </w:p>
    <w:p w14:paraId="9D000000">
      <w:pPr>
        <w:ind w:hanging="992" w:left="6379"/>
        <w:jc w:val="center"/>
      </w:pPr>
    </w:p>
    <w:p w14:paraId="9E000000">
      <w:pPr>
        <w:ind w:hanging="992" w:left="6379"/>
        <w:jc w:val="center"/>
      </w:pPr>
    </w:p>
    <w:p w14:paraId="9F000000">
      <w:pPr>
        <w:ind w:hanging="992" w:left="6379"/>
        <w:jc w:val="center"/>
      </w:pPr>
    </w:p>
    <w:p w14:paraId="A0000000">
      <w:pPr>
        <w:ind w:hanging="992" w:left="6379"/>
        <w:jc w:val="center"/>
      </w:pPr>
    </w:p>
    <w:p w14:paraId="A1000000">
      <w:pPr>
        <w:ind w:hanging="992" w:left="6379"/>
        <w:jc w:val="center"/>
      </w:pPr>
    </w:p>
    <w:p w14:paraId="A2000000">
      <w:pPr>
        <w:ind w:hanging="992" w:left="6379"/>
        <w:jc w:val="center"/>
      </w:pPr>
    </w:p>
    <w:p w14:paraId="A3000000">
      <w:pPr>
        <w:ind w:hanging="992" w:left="6379"/>
        <w:jc w:val="center"/>
      </w:pPr>
    </w:p>
    <w:p w14:paraId="A4000000">
      <w:pPr>
        <w:ind w:hanging="992" w:left="6379"/>
        <w:jc w:val="center"/>
      </w:pPr>
    </w:p>
    <w:p w14:paraId="A5000000">
      <w:pPr>
        <w:ind w:hanging="992" w:left="6379"/>
        <w:jc w:val="center"/>
      </w:pPr>
    </w:p>
    <w:p w14:paraId="A6000000">
      <w:pPr>
        <w:ind w:hanging="992" w:left="6379"/>
        <w:jc w:val="center"/>
      </w:pPr>
    </w:p>
    <w:p w14:paraId="A7000000">
      <w:pPr>
        <w:ind w:hanging="992" w:left="6379"/>
        <w:jc w:val="center"/>
      </w:pPr>
    </w:p>
    <w:p w14:paraId="A8000000">
      <w:pPr>
        <w:ind w:hanging="992" w:left="6379"/>
        <w:jc w:val="center"/>
      </w:pPr>
    </w:p>
    <w:p w14:paraId="A9000000">
      <w:pPr>
        <w:ind w:hanging="992" w:left="6379"/>
        <w:jc w:val="center"/>
      </w:pPr>
    </w:p>
    <w:p w14:paraId="AA000000">
      <w:pPr>
        <w:ind w:hanging="992" w:left="6379"/>
        <w:jc w:val="center"/>
      </w:pPr>
    </w:p>
    <w:p w14:paraId="AB000000">
      <w:pPr>
        <w:ind w:hanging="992" w:left="6379"/>
        <w:jc w:val="center"/>
      </w:pPr>
    </w:p>
    <w:p w14:paraId="AC000000">
      <w:pPr>
        <w:ind w:hanging="992" w:left="6379"/>
        <w:jc w:val="center"/>
      </w:pPr>
    </w:p>
    <w:p w14:paraId="AD000000">
      <w:pPr>
        <w:ind w:hanging="992" w:left="6379"/>
        <w:jc w:val="center"/>
      </w:pPr>
    </w:p>
    <w:p w14:paraId="AE000000">
      <w:pPr>
        <w:ind w:hanging="992" w:left="6379"/>
        <w:jc w:val="center"/>
      </w:pPr>
    </w:p>
    <w:p w14:paraId="AF000000">
      <w:pPr>
        <w:ind w:hanging="992" w:left="6379"/>
        <w:jc w:val="center"/>
      </w:pPr>
    </w:p>
    <w:p w14:paraId="B0000000">
      <w:pPr>
        <w:ind w:hanging="992" w:left="6379"/>
        <w:jc w:val="center"/>
      </w:pPr>
    </w:p>
    <w:p w14:paraId="B1000000">
      <w:pPr>
        <w:ind w:hanging="992" w:left="6379"/>
        <w:jc w:val="center"/>
      </w:pPr>
    </w:p>
    <w:p w14:paraId="B2000000">
      <w:pPr>
        <w:ind w:hanging="992" w:left="6379"/>
        <w:jc w:val="center"/>
      </w:pPr>
    </w:p>
    <w:p w14:paraId="B3000000">
      <w:pPr>
        <w:ind w:hanging="992" w:left="6379"/>
        <w:jc w:val="center"/>
      </w:pPr>
    </w:p>
    <w:p w14:paraId="B4000000">
      <w:pPr>
        <w:ind w:hanging="992" w:left="6379"/>
        <w:jc w:val="center"/>
      </w:pPr>
    </w:p>
    <w:p w14:paraId="B5000000">
      <w:pPr>
        <w:ind w:hanging="992" w:left="6379"/>
        <w:jc w:val="center"/>
      </w:pPr>
    </w:p>
    <w:p w14:paraId="B6000000">
      <w:pPr>
        <w:ind w:hanging="992" w:left="6379"/>
        <w:jc w:val="center"/>
      </w:pPr>
      <w:r>
        <w:t>Приложение</w:t>
      </w:r>
      <w:r>
        <w:t xml:space="preserve"> 1</w:t>
      </w:r>
    </w:p>
    <w:p w14:paraId="B7000000">
      <w:pPr>
        <w:ind w:hanging="992" w:left="5103"/>
        <w:contextualSpacing w:val="1"/>
        <w:jc w:val="center"/>
        <w:rPr>
          <w:color w:val="000000"/>
        </w:rPr>
      </w:pPr>
      <w:r>
        <w:rPr>
          <w:spacing w:val="2"/>
        </w:rPr>
        <w:t xml:space="preserve">           к </w:t>
      </w:r>
      <w:r>
        <w:rPr>
          <w:spacing w:val="2"/>
        </w:rPr>
        <w:t>П</w:t>
      </w:r>
      <w:r>
        <w:rPr>
          <w:spacing w:val="2"/>
        </w:rPr>
        <w:t>оложению</w:t>
      </w:r>
      <w:r>
        <w:rPr>
          <w:spacing w:val="2"/>
        </w:rPr>
        <w:t xml:space="preserve"> </w:t>
      </w:r>
      <w:r>
        <w:rPr>
          <w:color w:val="000000"/>
        </w:rPr>
        <w:t>об условиях и порядке оказания поддержки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на территории муниципального образования «Город Донецк»</w:t>
      </w:r>
    </w:p>
    <w:p w14:paraId="B8000000">
      <w:pPr>
        <w:ind w:hanging="992" w:left="992" w:right="62"/>
        <w:rPr>
          <w:color w:val="FF0000"/>
        </w:rPr>
      </w:pPr>
    </w:p>
    <w:p w14:paraId="B9000000">
      <w:pPr>
        <w:ind w:firstLine="851" w:left="0" w:right="62"/>
        <w:rPr>
          <w:color w:val="000000"/>
        </w:rPr>
      </w:pPr>
    </w:p>
    <w:p w14:paraId="BA000000">
      <w:pPr>
        <w:spacing w:after="0"/>
        <w:ind w:firstLine="6" w:left="142" w:right="142"/>
        <w:jc w:val="center"/>
        <w:rPr>
          <w:color w:val="000000"/>
        </w:rPr>
      </w:pPr>
      <w:r>
        <w:rPr>
          <w:color w:val="000000"/>
        </w:rPr>
        <w:t>ПОРЯДОК</w:t>
      </w:r>
    </w:p>
    <w:p w14:paraId="BB000000">
      <w:pPr>
        <w:spacing w:after="0"/>
        <w:ind w:firstLine="6" w:left="142" w:right="142"/>
        <w:jc w:val="center"/>
        <w:rPr>
          <w:color w:val="000000"/>
        </w:rPr>
      </w:pPr>
      <w:r>
        <w:rPr>
          <w:color w:val="000000"/>
        </w:rPr>
        <w:t>рассмотрения обращений субъектов малого и среднего предпринимательства в Администрации города Донецка</w:t>
      </w:r>
    </w:p>
    <w:p w14:paraId="BC000000">
      <w:pPr>
        <w:spacing w:after="0"/>
        <w:ind w:firstLine="6" w:left="142" w:right="142"/>
        <w:jc w:val="center"/>
        <w:rPr>
          <w:color w:val="000000"/>
        </w:rPr>
      </w:pPr>
    </w:p>
    <w:p w14:paraId="BD000000">
      <w:pPr>
        <w:numPr>
          <w:ilvl w:val="0"/>
          <w:numId w:val="6"/>
        </w:numPr>
        <w:spacing w:after="28"/>
        <w:ind w:firstLine="567" w:left="0" w:right="62"/>
        <w:rPr>
          <w:color w:val="000000"/>
        </w:rPr>
      </w:pPr>
      <w:r>
        <w:rPr>
          <w:color w:val="000000"/>
        </w:rPr>
        <w:t xml:space="preserve">Настоящий Порядок рассмотрения обращений субъектов малого и среднего предпринимательства в </w:t>
      </w:r>
      <w:r>
        <w:rPr>
          <w:color w:val="000000"/>
        </w:rPr>
        <w:t>А</w:t>
      </w:r>
      <w:r>
        <w:rPr>
          <w:color w:val="000000"/>
        </w:rPr>
        <w:t>дминистрации</w:t>
      </w:r>
      <w:r>
        <w:rPr>
          <w:color w:val="000000"/>
        </w:rPr>
        <w:t xml:space="preserve"> города Донецка  (далее -</w:t>
      </w:r>
      <w:r>
        <w:rPr>
          <w:color w:val="000000"/>
        </w:rPr>
        <w:t xml:space="preserve"> Порядок) в рамках поддержки субъектов малого и среднего предпринимательства определяет сроки и последовательность действий </w:t>
      </w:r>
      <w:r>
        <w:rPr>
          <w:color w:val="000000"/>
        </w:rPr>
        <w:t>А</w:t>
      </w:r>
      <w:r>
        <w:rPr>
          <w:color w:val="000000"/>
        </w:rPr>
        <w:t>дминистрации</w:t>
      </w:r>
      <w:r>
        <w:rPr>
          <w:color w:val="000000"/>
        </w:rPr>
        <w:t xml:space="preserve"> города Донецк</w:t>
      </w:r>
      <w:r>
        <w:rPr>
          <w:color w:val="000000"/>
        </w:rPr>
        <w:t>а</w:t>
      </w:r>
      <w:r>
        <w:rPr>
          <w:color w:val="000000"/>
        </w:rPr>
        <w:t>.</w:t>
      </w:r>
    </w:p>
    <w:p w14:paraId="BE000000">
      <w:pPr>
        <w:spacing w:after="32"/>
        <w:ind w:firstLine="567" w:left="0" w:right="62"/>
        <w:rPr>
          <w:color w:val="000000"/>
        </w:rPr>
      </w:pPr>
      <w:r>
        <w:rPr>
          <w:color w:val="000000"/>
        </w:rPr>
        <w:t xml:space="preserve">2. </w:t>
      </w:r>
      <w:r>
        <w:rPr>
          <w:color w:val="000000"/>
        </w:rPr>
        <w:t>Рассмотрение обращений субъектов малого и среднего предпринимательства осуществляется в соот</w:t>
      </w:r>
      <w:r>
        <w:rPr>
          <w:color w:val="000000"/>
        </w:rPr>
        <w:t>ветствии с</w:t>
      </w:r>
      <w:r>
        <w:rPr>
          <w:color w:val="000000"/>
        </w:rPr>
        <w:t xml:space="preserve"> Федеральным законом от 06.10.2003 года № 131-ФЗ «Об общих принципах организации местного самоуправления в Российской Федерации»;</w:t>
      </w:r>
      <w:r>
        <w:rPr>
          <w:color w:val="000000"/>
        </w:rPr>
        <w:t xml:space="preserve"> </w:t>
      </w:r>
      <w:r>
        <w:rPr>
          <w:color w:val="000000"/>
        </w:rPr>
        <w:t>Федеральным законом от 24.07.2007 года № 209-ФЗ «О развитии малого и среднего предпринимательства в Российской Федерации»;</w:t>
      </w:r>
      <w:r>
        <w:rPr>
          <w:color w:val="000000"/>
        </w:rPr>
        <w:t xml:space="preserve"> </w:t>
      </w:r>
      <w:r>
        <w:rPr>
          <w:color w:val="000000"/>
        </w:rPr>
        <w:t>Федеральным законом от 02.05.2006  № 59-ФЗ «О порядке рассмотрения обращений граждан Российской Федерации»;</w:t>
      </w:r>
      <w:r>
        <w:rPr>
          <w:color w:val="000000"/>
        </w:rPr>
        <w:t xml:space="preserve"> </w:t>
      </w:r>
      <w:r>
        <w:rPr>
          <w:color w:val="000000"/>
        </w:rPr>
        <w:t xml:space="preserve">Уставом </w:t>
      </w:r>
      <w:r>
        <w:rPr>
          <w:color w:val="000000"/>
        </w:rPr>
        <w:t>муниципального образования «Город Донецк»</w:t>
      </w:r>
      <w:r>
        <w:rPr>
          <w:color w:val="000000"/>
        </w:rPr>
        <w:t>.</w:t>
      </w:r>
    </w:p>
    <w:p w14:paraId="BF000000">
      <w:pPr>
        <w:ind w:firstLine="567" w:left="0" w:right="62"/>
        <w:rPr>
          <w:color w:val="000000"/>
        </w:rPr>
      </w:pPr>
      <w:r>
        <w:rPr>
          <w:color w:val="000000"/>
        </w:rPr>
        <w:t>3.</w:t>
      </w:r>
      <w:r>
        <w:rPr>
          <w:color w:val="000000"/>
        </w:rPr>
        <w:t xml:space="preserve"> Учет, регистрация и рассмотрение обращений субъектов малого и среднего предпринимательства осуществляется должностными лицами </w:t>
      </w:r>
      <w:r>
        <w:rPr>
          <w:color w:val="000000"/>
        </w:rPr>
        <w:t>А</w:t>
      </w:r>
      <w:r>
        <w:rPr>
          <w:color w:val="000000"/>
        </w:rPr>
        <w:t xml:space="preserve">дминистрации </w:t>
      </w:r>
      <w:r>
        <w:rPr>
          <w:color w:val="000000"/>
        </w:rPr>
        <w:t>города Донецка</w:t>
      </w:r>
      <w:r>
        <w:rPr>
          <w:color w:val="000000"/>
        </w:rPr>
        <w:t xml:space="preserve"> в соответствии с их компетенцией.</w:t>
      </w:r>
    </w:p>
    <w:p w14:paraId="C0000000">
      <w:pPr>
        <w:numPr>
          <w:ilvl w:val="0"/>
          <w:numId w:val="7"/>
        </w:numPr>
        <w:ind w:firstLine="567" w:left="0" w:right="62"/>
        <w:rPr>
          <w:color w:val="FF0000"/>
        </w:rPr>
      </w:pPr>
      <w:r>
        <w:rPr>
          <w:color w:val="000000"/>
        </w:rPr>
        <w:t>Рассмотрение обращения заявителя осуществляется в течение 30 дней со дня его регистрации, если не установлен более короткий срок исполнения обращения.</w:t>
      </w:r>
    </w:p>
    <w:p w14:paraId="C1000000">
      <w:pPr>
        <w:ind w:firstLine="567" w:left="0" w:right="62"/>
        <w:rPr>
          <w:color w:val="000000"/>
        </w:rPr>
      </w:pPr>
      <w:r>
        <w:rPr>
          <w:color w:val="000000"/>
        </w:rPr>
        <w:t>В исключительных случаях глава</w:t>
      </w:r>
      <w:r>
        <w:rPr>
          <w:color w:val="000000"/>
        </w:rPr>
        <w:t xml:space="preserve"> Администрации города Донецка</w:t>
      </w:r>
      <w:r>
        <w:rPr>
          <w:color w:val="000000"/>
        </w:rPr>
        <w:t xml:space="preserve">  вправе продлить срок рассмотрения обращения не более чем на 30 дней, </w:t>
      </w:r>
      <w:r>
        <w:rPr>
          <w:color w:val="000000"/>
        </w:rPr>
        <w:t>уведомив о продлении срока его рассмотрения заявителя, направившего обращение.</w:t>
      </w:r>
    </w:p>
    <w:p w14:paraId="C2000000">
      <w:pPr>
        <w:ind w:firstLine="567" w:left="0" w:right="62"/>
        <w:rPr>
          <w:color w:val="000000"/>
        </w:rPr>
      </w:pPr>
      <w:r>
        <w:rPr>
          <w:color w:val="000000"/>
        </w:rPr>
        <w:t>Запрос о продлении срока рассмотрения обращения должен быть оформлен не менее чем за 2-3 дня до истечения срока исполнения.</w:t>
      </w:r>
    </w:p>
    <w:p w14:paraId="C3000000">
      <w:pPr>
        <w:numPr>
          <w:ilvl w:val="0"/>
          <w:numId w:val="7"/>
        </w:numPr>
        <w:ind w:firstLine="567" w:left="0" w:right="62"/>
        <w:rPr>
          <w:color w:val="000000"/>
        </w:rPr>
      </w:pPr>
      <w:r>
        <w:rPr>
          <w:color w:val="000000"/>
        </w:rPr>
        <w:t>В случае если окончание срока рассмотрения обращения приходится на нерабочий день, днем окончания срока считается предшествующий ему рабочий день.</w:t>
      </w:r>
    </w:p>
    <w:p w14:paraId="C4000000">
      <w:pPr>
        <w:numPr>
          <w:ilvl w:val="0"/>
          <w:numId w:val="7"/>
        </w:numPr>
        <w:ind w:firstLine="567" w:left="0" w:right="62"/>
        <w:rPr>
          <w:color w:val="000000"/>
        </w:rPr>
      </w:pPr>
      <w:r>
        <w:rPr>
          <w:color w:val="000000"/>
        </w:rPr>
        <w:t xml:space="preserve">Глава </w:t>
      </w:r>
      <w:r>
        <w:rPr>
          <w:color w:val="000000"/>
        </w:rPr>
        <w:t>Администрации города Донецка</w:t>
      </w:r>
      <w:r>
        <w:rPr>
          <w:color w:val="000000"/>
        </w:rPr>
        <w:t xml:space="preserve"> вправе устанавливать сокращенные сроки рассмотрения отдельных обращений.</w:t>
      </w:r>
    </w:p>
    <w:p w14:paraId="C5000000">
      <w:pPr>
        <w:numPr>
          <w:ilvl w:val="0"/>
          <w:numId w:val="7"/>
        </w:numPr>
        <w:ind w:firstLine="567" w:left="0" w:right="62"/>
        <w:rPr>
          <w:color w:val="000000"/>
        </w:rPr>
      </w:pPr>
      <w:r>
        <w:rPr>
          <w:color w:val="000000"/>
        </w:rPr>
        <w:t>Письменное обращение заявителя в обязательном порядке должно содержать фамилию, имя, отчество (для юридических лиц: наименование субъекта малого или среднего предпринимательства), почтовый адрес, по которому должен быть направлен ответ, изложение сути обращения, личную подпись заявителя и дату.</w:t>
      </w:r>
    </w:p>
    <w:p w14:paraId="C6000000">
      <w:pPr>
        <w:ind w:firstLine="567" w:left="0" w:right="139"/>
        <w:rPr>
          <w:color w:val="000000"/>
        </w:rPr>
      </w:pPr>
      <w:r>
        <w:rPr>
          <w:color w:val="000000"/>
        </w:rPr>
        <w:t xml:space="preserve">Субъект малого или среднего предпринимательства прилагает к письменному обращению необходимые документы, предусмотренные положением </w:t>
      </w:r>
      <w:r>
        <w:rPr>
          <w:color w:val="000000"/>
        </w:rPr>
        <w:t xml:space="preserve"> </w:t>
      </w:r>
      <w:r>
        <w:rPr>
          <w:color w:val="000000"/>
        </w:rPr>
        <w:t xml:space="preserve">об условиях и порядке оказания поддержки субъектам малого и среднего предпринимательства и организациям, образующим инфраструктуру поддержки субъектов малого и среднего </w:t>
      </w:r>
      <w:r>
        <w:rPr>
          <w:color w:val="000000"/>
        </w:rPr>
        <w:t>предпринимательства, на территории города Донецка.</w:t>
      </w:r>
    </w:p>
    <w:p w14:paraId="C7000000">
      <w:pPr>
        <w:numPr>
          <w:ilvl w:val="0"/>
          <w:numId w:val="7"/>
        </w:numPr>
        <w:ind w:firstLine="567" w:left="0" w:right="62"/>
        <w:rPr>
          <w:color w:val="000000"/>
        </w:rPr>
      </w:pPr>
      <w:r>
        <w:rPr>
          <w:color w:val="000000"/>
        </w:rPr>
        <w:t>Регистрации и учету подлежат все обращения субъектов малого и среднего предпринимательства, включая и те, которые не соответствуют требованиям, установленным законодательством для письменных обращений.</w:t>
      </w:r>
    </w:p>
    <w:p w14:paraId="C8000000">
      <w:pPr>
        <w:numPr>
          <w:ilvl w:val="0"/>
          <w:numId w:val="7"/>
        </w:numPr>
        <w:ind w:firstLine="567" w:left="0" w:right="62"/>
        <w:rPr>
          <w:color w:val="000000"/>
        </w:rPr>
      </w:pPr>
      <w:r>
        <w:rPr>
          <w:color w:val="000000"/>
        </w:rPr>
        <w:t>Субъекты малого и среднего предпринимательства при рассмотрении обращения имеют право:</w:t>
      </w:r>
    </w:p>
    <w:p w14:paraId="C9000000">
      <w:pPr>
        <w:spacing w:after="0"/>
        <w:ind w:firstLine="709" w:left="0" w:right="-5"/>
        <w:rPr>
          <w:color w:val="000000"/>
        </w:rPr>
      </w:pPr>
      <w:r>
        <w:rPr>
          <w:color w:val="000000"/>
        </w:rPr>
        <w:t xml:space="preserve">1) </w:t>
      </w:r>
      <w:r>
        <w:rPr>
          <w:color w:val="000000"/>
        </w:rPr>
        <w:t>запрашивать информацию о дате и номере регистрации обращения;</w:t>
      </w:r>
    </w:p>
    <w:p w14:paraId="CA000000">
      <w:pPr>
        <w:spacing w:after="0"/>
        <w:ind w:firstLine="709" w:left="0" w:right="-5"/>
        <w:rPr>
          <w:color w:val="000000"/>
        </w:rPr>
      </w:pPr>
      <w:r>
        <w:rPr>
          <w:color w:val="000000"/>
        </w:rPr>
        <w:t>2)</w:t>
      </w:r>
      <w:r>
        <w:rPr>
          <w:color w:val="000000"/>
        </w:rPr>
        <w:t xml:space="preserve">представлять дополнительные документы и материалы по рассматриваемому обращению либо обращаться с просьбой об их истребовании; </w:t>
      </w:r>
    </w:p>
    <w:p w14:paraId="CB000000">
      <w:pPr>
        <w:spacing w:after="0"/>
        <w:ind w:firstLine="709" w:left="0" w:right="-5"/>
        <w:rPr>
          <w:color w:val="000000"/>
        </w:rPr>
      </w:pPr>
      <w:r>
        <w:rPr>
          <w:color w:val="000000"/>
        </w:rPr>
        <w:t xml:space="preserve">3) </w:t>
      </w:r>
      <w:r>
        <w:rPr>
          <w:color w:val="000000"/>
        </w:rPr>
        <w:t>знакомиться с документами и материалами, касающимися рассмотрения обращения, если это не затрагивает права, свободы и законные интересы других лиц и если в указанных документах и материалах не содержатся сведения,</w:t>
      </w:r>
      <w:r>
        <w:rPr>
          <w:color w:val="000000"/>
        </w:rPr>
        <w:tab/>
      </w:r>
      <w:r>
        <w:rPr>
          <w:color w:val="000000"/>
        </w:rPr>
        <w:t>составляющие</w:t>
      </w:r>
      <w:r>
        <w:rPr>
          <w:color w:val="000000"/>
        </w:rPr>
        <w:tab/>
      </w:r>
      <w:r>
        <w:rPr>
          <w:color w:val="000000"/>
        </w:rPr>
        <w:t xml:space="preserve">государственную или иную охраняемую федеральным законом тайну; </w:t>
      </w:r>
    </w:p>
    <w:p w14:paraId="CC000000">
      <w:pPr>
        <w:spacing w:after="0"/>
        <w:ind w:firstLine="567" w:left="0" w:right="-5"/>
        <w:rPr>
          <w:color w:val="000000"/>
        </w:rPr>
      </w:pPr>
      <w:r>
        <w:rPr>
          <w:color w:val="000000"/>
        </w:rPr>
        <w:t xml:space="preserve">4) </w:t>
      </w:r>
      <w:r>
        <w:rPr>
          <w:color w:val="000000"/>
        </w:rPr>
        <w:t>получать письменный мотивированный ответ по существу поставленных в обращении вопросов, получать уведомление о переадресации обращения в государственный орган, орган местного самоуправления или должностному лицу, в компетенцию которых входит разрешение поставленных в обращении вопросов;</w:t>
      </w:r>
    </w:p>
    <w:p w14:paraId="CD000000">
      <w:pPr>
        <w:spacing w:after="0"/>
        <w:ind w:firstLine="567" w:left="0" w:right="-5"/>
        <w:rPr>
          <w:color w:val="000000"/>
        </w:rPr>
      </w:pPr>
      <w:r>
        <w:rPr>
          <w:color w:val="000000"/>
        </w:rPr>
        <w:t>5)</w:t>
      </w:r>
      <w:r>
        <w:rPr>
          <w:color w:val="000000"/>
        </w:rPr>
        <w:t xml:space="preserve"> обращаться с жалобой на принятое по обращению решение или на действие (бездействие) в связи с рассмотрением обращения, в административном и (или) судебном порядке в соответствии с законодательством Российской Федерации;</w:t>
      </w:r>
    </w:p>
    <w:p w14:paraId="CE000000">
      <w:pPr>
        <w:spacing w:after="0"/>
        <w:ind w:firstLine="567" w:left="0" w:right="-5"/>
        <w:rPr>
          <w:color w:val="000000"/>
        </w:rPr>
      </w:pPr>
      <w:r>
        <w:rPr>
          <w:color w:val="000000"/>
        </w:rPr>
        <w:t>6)  обращаться с заявлением о пре</w:t>
      </w:r>
      <w:r>
        <w:rPr>
          <w:color w:val="000000"/>
        </w:rPr>
        <w:t>кращении рассмотрения обращения.</w:t>
      </w:r>
    </w:p>
    <w:p w14:paraId="CF000000">
      <w:pPr>
        <w:numPr>
          <w:ilvl w:val="0"/>
          <w:numId w:val="7"/>
        </w:numPr>
        <w:spacing w:after="0"/>
        <w:ind w:firstLine="567" w:left="0" w:right="62"/>
        <w:rPr>
          <w:color w:val="000000"/>
        </w:rPr>
      </w:pPr>
      <w:r>
        <w:rPr>
          <w:color w:val="000000"/>
        </w:rPr>
        <w:t xml:space="preserve">Должностные лица </w:t>
      </w:r>
      <w:r>
        <w:rPr>
          <w:color w:val="000000"/>
        </w:rPr>
        <w:t>А</w:t>
      </w:r>
      <w:r>
        <w:rPr>
          <w:color w:val="000000"/>
        </w:rPr>
        <w:t>дминистрации</w:t>
      </w:r>
      <w:r>
        <w:rPr>
          <w:color w:val="000000"/>
        </w:rPr>
        <w:t xml:space="preserve"> города Донецка</w:t>
      </w:r>
      <w:r>
        <w:rPr>
          <w:color w:val="000000"/>
        </w:rPr>
        <w:t xml:space="preserve"> в соответствии с их компетенцией</w:t>
      </w:r>
      <w:r>
        <w:rPr>
          <w:color w:val="000000"/>
        </w:rPr>
        <w:t>:</w:t>
      </w:r>
    </w:p>
    <w:p w14:paraId="D0000000">
      <w:pPr>
        <w:spacing w:after="0"/>
        <w:ind w:firstLine="567" w:left="0" w:right="62"/>
        <w:rPr>
          <w:color w:val="000000"/>
        </w:rPr>
      </w:pPr>
      <w:r>
        <w:rPr>
          <w:color w:val="000000"/>
        </w:rPr>
        <w:t xml:space="preserve">1) </w:t>
      </w:r>
      <w:r>
        <w:rPr>
          <w:color w:val="000000"/>
        </w:rPr>
        <w:t>обеспечивают объективное, всестороннее и своевременное рассмотрение обращения, в случае необходимости</w:t>
      </w:r>
      <w:r>
        <w:rPr>
          <w:color w:val="000000"/>
        </w:rPr>
        <w:tab/>
      </w:r>
      <w:r>
        <w:rPr>
          <w:color w:val="000000"/>
        </w:rPr>
        <w:t>с</w:t>
      </w:r>
      <w:r>
        <w:rPr>
          <w:color w:val="000000"/>
        </w:rPr>
        <w:t xml:space="preserve"> </w:t>
      </w:r>
      <w:r>
        <w:rPr>
          <w:color w:val="000000"/>
        </w:rPr>
        <w:t xml:space="preserve">участием </w:t>
      </w:r>
      <w:r>
        <w:rPr>
          <w:color w:val="000000"/>
        </w:rPr>
        <w:t xml:space="preserve">представителя </w:t>
      </w:r>
      <w:r>
        <w:rPr>
          <w:color w:val="000000"/>
        </w:rPr>
        <w:t xml:space="preserve">заявителя, направившего обращение; </w:t>
      </w:r>
    </w:p>
    <w:p w14:paraId="D1000000">
      <w:pPr>
        <w:spacing w:after="0"/>
        <w:ind w:firstLine="567" w:left="0" w:right="62"/>
        <w:rPr>
          <w:color w:val="000000"/>
        </w:rPr>
      </w:pPr>
      <w:r>
        <w:rPr>
          <w:color w:val="000000"/>
        </w:rPr>
        <w:t xml:space="preserve">2) </w:t>
      </w:r>
      <w:r>
        <w:rPr>
          <w:color w:val="000000"/>
        </w:rPr>
        <w:t xml:space="preserve">запрашивают необходимые для рассмотрения обращения, документы и материалы в государственных органах, органах местного самоуправления и у иных должностных лиц, за исключением судов, органов дознания и органов предварительного следствия; </w:t>
      </w:r>
    </w:p>
    <w:p w14:paraId="D2000000">
      <w:pPr>
        <w:spacing w:after="0"/>
        <w:ind w:firstLine="567" w:left="0" w:right="62"/>
        <w:rPr>
          <w:color w:val="000000"/>
        </w:rPr>
      </w:pPr>
      <w:r>
        <w:rPr>
          <w:color w:val="000000"/>
        </w:rPr>
        <w:t xml:space="preserve">3) </w:t>
      </w:r>
      <w:r>
        <w:rPr>
          <w:color w:val="000000"/>
        </w:rPr>
        <w:t>обеспечивают необходимые условия для осуществления субъектами малого и среднего предпринимательства права обращаться с предложениями, заявлениями, жалобами для своевременного и эффективного рассмотрения обращений должностными лицами, правомочными принимать решения;</w:t>
      </w:r>
    </w:p>
    <w:p w14:paraId="D3000000">
      <w:pPr>
        <w:spacing w:after="0"/>
        <w:ind w:firstLine="567" w:left="0" w:right="62"/>
        <w:rPr>
          <w:color w:val="000000"/>
        </w:rPr>
      </w:pPr>
      <w:r>
        <w:rPr>
          <w:color w:val="000000"/>
        </w:rPr>
        <w:t>4)</w:t>
      </w:r>
      <w:r>
        <w:rPr>
          <w:color w:val="000000"/>
        </w:rPr>
        <w:t xml:space="preserve"> информируют представителей субъектов малого и среднего предпринимательства о порядке реализации их права на обращение;</w:t>
      </w:r>
    </w:p>
    <w:p w14:paraId="D4000000">
      <w:pPr>
        <w:spacing w:after="0"/>
        <w:ind w:firstLine="567" w:left="0" w:right="62"/>
        <w:rPr>
          <w:color w:val="000000"/>
        </w:rPr>
      </w:pPr>
      <w:r>
        <w:rPr>
          <w:color w:val="000000"/>
        </w:rPr>
        <w:t>5)</w:t>
      </w:r>
      <w:r>
        <w:rPr>
          <w:color w:val="000000"/>
        </w:rPr>
        <w:t xml:space="preserve"> принимают меры по разрешению поставленных в обращениях вопросов и устранению выявленных нарушений; </w:t>
      </w:r>
    </w:p>
    <w:p w14:paraId="D5000000">
      <w:pPr>
        <w:spacing w:after="0"/>
        <w:ind w:firstLine="567" w:left="0" w:right="62"/>
        <w:rPr>
          <w:color w:val="000000"/>
        </w:rPr>
      </w:pPr>
      <w:r>
        <w:rPr>
          <w:color w:val="000000"/>
        </w:rPr>
        <w:t xml:space="preserve">6) </w:t>
      </w:r>
      <w:r>
        <w:rPr>
          <w:color w:val="000000"/>
        </w:rPr>
        <w:t xml:space="preserve">принимают меры, направленные на восстановление или защиту нарушенных прав, свобод и законных интересов субъектов малого и среднего предпринимательства; </w:t>
      </w:r>
    </w:p>
    <w:p w14:paraId="D6000000">
      <w:pPr>
        <w:spacing w:after="0"/>
        <w:ind w:firstLine="567" w:left="0" w:right="62"/>
        <w:rPr>
          <w:color w:val="000000"/>
        </w:rPr>
      </w:pPr>
      <w:r>
        <w:rPr>
          <w:color w:val="000000"/>
        </w:rPr>
        <w:t xml:space="preserve">7) </w:t>
      </w:r>
      <w:r>
        <w:rPr>
          <w:color w:val="000000"/>
        </w:rPr>
        <w:t xml:space="preserve">направляют субъектам малого и среднего предпринимательства письменные ответы по существу поставленных в обращении вопросов; </w:t>
      </w:r>
    </w:p>
    <w:p w14:paraId="D7000000">
      <w:pPr>
        <w:spacing w:after="0"/>
        <w:ind w:firstLine="567" w:left="0" w:right="62"/>
        <w:rPr>
          <w:color w:val="000000"/>
        </w:rPr>
      </w:pPr>
      <w:r>
        <w:rPr>
          <w:color w:val="000000"/>
        </w:rPr>
        <w:t xml:space="preserve">8) </w:t>
      </w:r>
      <w:r>
        <w:rPr>
          <w:color w:val="000000"/>
        </w:rPr>
        <w:t xml:space="preserve">уведомляют субъектов малого и среднего предпринимательства о направлении его обращения на рассмотрение в государственный орган, другой орган местного самоуправления или иному должностному лицу в соответствии с их компетенцией; </w:t>
      </w:r>
    </w:p>
    <w:p w14:paraId="D8000000">
      <w:pPr>
        <w:spacing w:after="0"/>
        <w:ind w:firstLine="567" w:left="0" w:right="62"/>
        <w:rPr>
          <w:color w:val="000000"/>
        </w:rPr>
      </w:pPr>
      <w:r>
        <w:rPr>
          <w:color w:val="000000"/>
        </w:rPr>
        <w:t xml:space="preserve">9) </w:t>
      </w:r>
      <w:r>
        <w:rPr>
          <w:color w:val="000000"/>
        </w:rPr>
        <w:t>проверяют исполнение ранее принятых ими решений по обращениям.</w:t>
      </w:r>
    </w:p>
    <w:p w14:paraId="D9000000">
      <w:pPr>
        <w:numPr>
          <w:ilvl w:val="0"/>
          <w:numId w:val="7"/>
        </w:numPr>
        <w:ind w:firstLine="567" w:left="0" w:right="62"/>
        <w:rPr>
          <w:color w:val="000000"/>
        </w:rPr>
      </w:pPr>
      <w:r>
        <w:rPr>
          <w:color w:val="000000"/>
        </w:rPr>
        <w:t>При рассмотрении повторных обращений выясняются причины их поступления. В случае установления фактов неполного рассмотрения ранее поставленных субъектами малого и среднего предпринимательства, вопросов, принимаются меры к их всестороннему рассмотрению.</w:t>
      </w:r>
    </w:p>
    <w:p w14:paraId="DA000000">
      <w:pPr>
        <w:numPr>
          <w:ilvl w:val="0"/>
          <w:numId w:val="7"/>
        </w:numPr>
        <w:ind w:firstLine="567" w:left="0" w:right="62"/>
        <w:rPr>
          <w:color w:val="000000"/>
        </w:rPr>
      </w:pPr>
      <w:r>
        <w:rPr>
          <w:color w:val="000000"/>
        </w:rPr>
        <w:t xml:space="preserve">Конечным результатом исполнения рассмотрения обращений </w:t>
      </w:r>
      <w:r>
        <w:rPr>
          <w:color w:val="000000"/>
        </w:rPr>
        <w:t>субъектов малого и среднего предпринимательства является:</w:t>
      </w:r>
    </w:p>
    <w:p w14:paraId="DB000000">
      <w:pPr>
        <w:ind w:firstLine="567" w:left="0" w:right="62"/>
        <w:rPr>
          <w:color w:val="000000"/>
        </w:rPr>
      </w:pPr>
      <w:r>
        <w:rPr>
          <w:color w:val="000000"/>
        </w:rPr>
        <w:t xml:space="preserve">1) </w:t>
      </w:r>
      <w:r>
        <w:rPr>
          <w:color w:val="000000"/>
        </w:rPr>
        <w:t>направление заявителю письменного ответа по существу поставленных в обращении вопросов;</w:t>
      </w:r>
    </w:p>
    <w:p w14:paraId="DC000000">
      <w:pPr>
        <w:ind w:firstLine="567" w:left="0" w:right="62"/>
        <w:rPr>
          <w:color w:val="000000"/>
        </w:rPr>
      </w:pPr>
      <w:r>
        <w:rPr>
          <w:color w:val="000000"/>
        </w:rPr>
        <w:t xml:space="preserve">2) </w:t>
      </w:r>
      <w:r>
        <w:rPr>
          <w:color w:val="000000"/>
        </w:rPr>
        <w:t xml:space="preserve">направление письменного обращения, содержащего вопросы, решение которых не входит в компетенцию </w:t>
      </w:r>
      <w:r>
        <w:rPr>
          <w:color w:val="000000"/>
        </w:rPr>
        <w:t>А</w:t>
      </w:r>
      <w:r>
        <w:rPr>
          <w:color w:val="000000"/>
        </w:rPr>
        <w:t xml:space="preserve">дминистрации </w:t>
      </w:r>
      <w:r>
        <w:rPr>
          <w:color w:val="000000"/>
        </w:rPr>
        <w:t>города Донецка</w:t>
      </w:r>
      <w:r>
        <w:rPr>
          <w:color w:val="000000"/>
        </w:rPr>
        <w:t>, в течение 7 дней со дня регистрации, в соответствующий орган или соответствующему должностному лицу, в компетенцию которых входит решение поставленных в обращении вопросов, с уведомлением заявителя, направившего обращение о переадресации обращения, за исключением случая, когда текст письменного обращения не поддается прочтению, ответ на обращение не</w:t>
      </w:r>
      <w:r>
        <w:rPr>
          <w:color w:val="000000"/>
        </w:rPr>
        <w:t xml:space="preserve"> дается, и оно не подлежит направлению на рассмотрение в государственный орган, орган местного самоуправления или должностному лицу в соответствии с их компетенцией, о чем сообщается заявителю.</w:t>
      </w:r>
    </w:p>
    <w:p w14:paraId="DD000000">
      <w:pPr>
        <w:numPr>
          <w:ilvl w:val="0"/>
          <w:numId w:val="7"/>
        </w:numPr>
        <w:ind w:firstLine="567" w:left="0" w:right="62"/>
        <w:rPr>
          <w:color w:val="000000"/>
        </w:rPr>
      </w:pPr>
      <w:r>
        <w:rPr>
          <w:color w:val="000000"/>
        </w:rPr>
        <w:t>Обращения субъектов малого и среднего предпринимательства считаются разрешенными, если все поставленные в них вопросы рассмотрены, приняты необходимые меры и заявителям даны письменные мотивированные ответы.</w:t>
      </w:r>
    </w:p>
    <w:p w14:paraId="DE000000">
      <w:pPr>
        <w:numPr>
          <w:ilvl w:val="0"/>
          <w:numId w:val="7"/>
        </w:numPr>
        <w:ind w:firstLine="567" w:left="0" w:right="62"/>
        <w:rPr>
          <w:color w:val="000000"/>
        </w:rPr>
      </w:pPr>
      <w:r>
        <w:rPr>
          <w:color w:val="000000"/>
        </w:rPr>
        <w:t>Обращение заявителя не подлежит рассмотрению, если:</w:t>
      </w:r>
    </w:p>
    <w:p w14:paraId="DF000000">
      <w:pPr>
        <w:ind w:firstLine="567" w:left="0" w:right="62"/>
        <w:rPr>
          <w:color w:val="000000"/>
        </w:rPr>
      </w:pPr>
      <w:r>
        <w:rPr>
          <w:color w:val="000000"/>
        </w:rPr>
        <w:t xml:space="preserve">1) </w:t>
      </w:r>
      <w:r>
        <w:rPr>
          <w:color w:val="000000"/>
        </w:rPr>
        <w:t>в письменном обращении не указаны наименование организации, фамилия индивидуального предпринимателя или его представителя, или физического лица, почтовый адрес, по которому должен быть направлен ответ;</w:t>
      </w:r>
    </w:p>
    <w:p w14:paraId="E0000000">
      <w:pPr>
        <w:ind w:firstLine="567" w:left="0" w:right="62"/>
        <w:rPr>
          <w:color w:val="000000"/>
        </w:rPr>
      </w:pPr>
      <w:r>
        <w:rPr>
          <w:color w:val="000000"/>
        </w:rPr>
        <w:t xml:space="preserve">2) </w:t>
      </w:r>
      <w:r>
        <w:rPr>
          <w:color w:val="000000"/>
        </w:rPr>
        <w:t>текст письменного обращения не поддается прочтению;</w:t>
      </w:r>
    </w:p>
    <w:p w14:paraId="E1000000">
      <w:pPr>
        <w:ind w:firstLine="567" w:left="0" w:right="62"/>
        <w:rPr>
          <w:color w:val="000000"/>
        </w:rPr>
      </w:pPr>
      <w:r>
        <w:rPr>
          <w:color w:val="000000"/>
        </w:rPr>
        <w:t xml:space="preserve">3) </w:t>
      </w:r>
      <w:r>
        <w:rPr>
          <w:color w:val="000000"/>
        </w:rPr>
        <w:t xml:space="preserve"> ответ по существу поставленного в обращении вопроса не может быть дан без разглашения сведений, составляющих государственную или иную охраняемую федеральным законом тайну; </w:t>
      </w:r>
    </w:p>
    <w:p w14:paraId="E2000000">
      <w:pPr>
        <w:ind w:firstLine="567" w:left="0" w:right="62"/>
        <w:rPr>
          <w:color w:val="000000"/>
        </w:rPr>
      </w:pPr>
      <w:r>
        <w:rPr>
          <w:color w:val="000000"/>
        </w:rPr>
        <w:t>4) в обращении обжалуется судебный акт;</w:t>
      </w:r>
    </w:p>
    <w:p w14:paraId="E3000000">
      <w:pPr>
        <w:ind w:firstLine="567" w:left="0" w:right="62"/>
        <w:rPr>
          <w:color w:val="000000"/>
        </w:rPr>
      </w:pPr>
      <w:r>
        <w:rPr>
          <w:color w:val="000000"/>
        </w:rPr>
        <w:t xml:space="preserve">5) </w:t>
      </w:r>
      <w:r>
        <w:rPr>
          <w:color w:val="000000"/>
        </w:rPr>
        <w:t>от заявителя поступило заявление о прекращении рассмотрения обращения;</w:t>
      </w:r>
    </w:p>
    <w:p w14:paraId="E4000000">
      <w:pPr>
        <w:ind w:firstLine="567" w:left="0" w:right="62"/>
        <w:rPr>
          <w:color w:val="000000"/>
        </w:rPr>
      </w:pPr>
      <w:r>
        <w:rPr>
          <w:color w:val="000000"/>
        </w:rPr>
        <w:t xml:space="preserve">6) в период рассмотрения обращения поступило официальное сообщение о ликвидации юридического лица или прекращении деятельности индивидуального предпринимателя; </w:t>
      </w:r>
    </w:p>
    <w:p w14:paraId="E5000000">
      <w:pPr>
        <w:ind w:firstLine="567" w:left="0" w:right="62"/>
        <w:rPr>
          <w:color w:val="FF0000"/>
        </w:rPr>
      </w:pPr>
      <w:r>
        <w:rPr>
          <w:color w:val="000000"/>
        </w:rPr>
        <w:t xml:space="preserve">7) </w:t>
      </w:r>
      <w:r>
        <w:rPr>
          <w:color w:val="000000"/>
        </w:rPr>
        <w:t>обращение подано через представителя, полномочия которого не</w:t>
      </w:r>
      <w:r>
        <w:rPr>
          <w:color w:val="FF0000"/>
        </w:rPr>
        <w:t xml:space="preserve"> </w:t>
      </w:r>
      <w:r>
        <w:rPr>
          <w:color w:val="000000"/>
        </w:rPr>
        <w:t>удостоверены в установленном действующем законодательством порядке.</w:t>
      </w:r>
    </w:p>
    <w:p w14:paraId="E6000000">
      <w:pPr>
        <w:ind w:firstLine="567" w:left="0" w:right="62"/>
        <w:rPr>
          <w:color w:val="000000"/>
        </w:rPr>
      </w:pPr>
      <w:r>
        <w:rPr>
          <w:color w:val="000000"/>
        </w:rPr>
        <w:t>15. Если в указанном обращении содержатся сведения о подготавливаемом, совершаемом или совершенном противоправном деянии, а также о лице, его подготавливающем, совершающ</w:t>
      </w:r>
      <w:r>
        <w:rPr>
          <w:color w:val="000000"/>
        </w:rPr>
        <w:t xml:space="preserve">ем или совершившем, </w:t>
      </w:r>
      <w:r>
        <w:t>обращение подлежит направлению в государственный орган в соответствии с его компетенцией.</w:t>
      </w:r>
    </w:p>
    <w:p w14:paraId="E7000000">
      <w:pPr>
        <w:ind w:firstLine="567" w:left="0" w:right="62"/>
        <w:rPr>
          <w:color w:val="000000"/>
        </w:rPr>
      </w:pPr>
      <w:r>
        <w:rPr>
          <w:color w:val="000000"/>
        </w:rPr>
        <w:t>16.</w:t>
      </w:r>
      <w:r>
        <w:rPr>
          <w:color w:val="000000"/>
        </w:rPr>
        <w:t xml:space="preserve"> Обращение заявителя по решению главы </w:t>
      </w:r>
      <w:r>
        <w:rPr>
          <w:color w:val="000000"/>
        </w:rPr>
        <w:t>Администрации города Донецка</w:t>
      </w:r>
      <w:r>
        <w:rPr>
          <w:color w:val="000000"/>
        </w:rPr>
        <w:t xml:space="preserve"> не рассматривается, если в обращении содержатся </w:t>
      </w:r>
      <w:r>
        <w:rPr>
          <w:color w:val="000000"/>
        </w:rPr>
        <w:t>нецензурные</w:t>
      </w:r>
      <w:r>
        <w:rPr>
          <w:color w:val="000000"/>
        </w:rPr>
        <w:t xml:space="preserve"> либо оскорбительные выражения, угрозы жизни, здоровью и имуществу </w:t>
      </w:r>
      <w:r>
        <w:rPr>
          <w:color w:val="000000"/>
        </w:rPr>
        <w:t>должностного лица, а также членов его семьи.</w:t>
      </w:r>
    </w:p>
    <w:p w14:paraId="E8000000">
      <w:pPr>
        <w:ind w:firstLine="567" w:left="0" w:right="62"/>
        <w:rPr>
          <w:color w:val="000000"/>
        </w:rPr>
      </w:pPr>
      <w:r>
        <w:rPr>
          <w:color w:val="000000"/>
        </w:rPr>
        <w:t>17. Прекращение переписки с заявителем осуществляется в случае, если в письменном обращении содержится вопрос, на который многократно давались письменные ответы по существу в связи с ранее направляемыми обращениями и при этом в обращении не приводятся новые доводы и обстоятельства.</w:t>
      </w:r>
    </w:p>
    <w:p w14:paraId="E9000000">
      <w:pPr>
        <w:ind w:firstLine="567" w:left="0" w:right="62"/>
        <w:rPr>
          <w:color w:val="000000"/>
        </w:rPr>
      </w:pPr>
      <w:r>
        <w:rPr>
          <w:color w:val="000000"/>
        </w:rPr>
        <w:t xml:space="preserve">Глава </w:t>
      </w:r>
      <w:r>
        <w:rPr>
          <w:color w:val="000000"/>
        </w:rPr>
        <w:t>города Донецка</w:t>
      </w:r>
      <w:r>
        <w:rPr>
          <w:color w:val="000000"/>
        </w:rPr>
        <w:t xml:space="preserve"> вправе принять решение о безосновательности очередного обращения и прекращения переписки с заявителем по данному вопросу при</w:t>
      </w:r>
      <w:r>
        <w:rPr>
          <w:color w:val="000000"/>
        </w:rPr>
        <w:t xml:space="preserve"> повторном обращении по одному и тому же вопросу. </w:t>
      </w:r>
      <w:r>
        <w:rPr>
          <w:color w:val="000000"/>
        </w:rPr>
        <w:t xml:space="preserve"> О данном решении уведомляется заявитель, направивший обращение.</w:t>
      </w:r>
    </w:p>
    <w:p w14:paraId="EA000000">
      <w:pPr>
        <w:ind w:firstLine="567" w:left="0" w:right="62"/>
        <w:rPr>
          <w:color w:val="000000"/>
        </w:rPr>
      </w:pPr>
      <w:r>
        <w:rPr>
          <w:color w:val="000000"/>
        </w:rPr>
        <w:t xml:space="preserve">18. Текст ответа на обращение должен излагаться четко, последовательно, кратко, давать исчерпывающие разъяснения на все поставленные в обращении вопросы. При подтверждении </w:t>
      </w:r>
      <w:r>
        <w:rPr>
          <w:color w:val="000000"/>
        </w:rPr>
        <w:t>фактов о</w:t>
      </w:r>
      <w:r>
        <w:rPr>
          <w:color w:val="000000"/>
        </w:rPr>
        <w:t xml:space="preserve"> ненадлежащем исполнении должностных обязанностей, изложенных в обращении, в ответе следует указывать, какие меры приняты к виновным должностным лицам.</w:t>
      </w:r>
    </w:p>
    <w:p w14:paraId="EB000000">
      <w:pPr>
        <w:ind w:firstLine="567" w:left="0" w:right="62"/>
        <w:rPr>
          <w:color w:val="000000"/>
        </w:rPr>
      </w:pPr>
      <w:r>
        <w:rPr>
          <w:color w:val="000000"/>
        </w:rPr>
        <w:t>19. После регистрации ответ отправляется заявителю самостоятельно должностными лицами, рассматривающими обращение.</w:t>
      </w:r>
    </w:p>
    <w:p w14:paraId="EC000000">
      <w:pPr>
        <w:ind w:firstLine="567" w:left="0" w:right="62"/>
        <w:rPr>
          <w:color w:val="000000"/>
        </w:rPr>
      </w:pPr>
      <w:r>
        <w:rPr>
          <w:color w:val="000000"/>
        </w:rPr>
        <w:t>20. Субъекты малого и среднего предпринимательства вправе обращаться с жалобой на принятое по обращению решение или на действие (бездействие) в связи с рассмотрением обращения в административном и (или) судебном порядке в соответствии с законодательством Российской Федерации.</w:t>
      </w:r>
    </w:p>
    <w:p w14:paraId="ED000000">
      <w:pPr>
        <w:ind w:right="62"/>
        <w:rPr>
          <w:color w:val="000000"/>
        </w:rPr>
      </w:pPr>
    </w:p>
    <w:p w14:paraId="EE000000">
      <w:pPr>
        <w:ind w:firstLine="709" w:left="0"/>
        <w:rPr>
          <w:color w:val="FF0000"/>
        </w:rPr>
      </w:pPr>
    </w:p>
    <w:p w14:paraId="EF000000">
      <w:pPr>
        <w:ind w:firstLine="709" w:left="0"/>
        <w:rPr>
          <w:color w:val="FF0000"/>
        </w:rPr>
      </w:pPr>
    </w:p>
    <w:p w14:paraId="F0000000">
      <w:pPr>
        <w:ind w:firstLine="709" w:left="0"/>
        <w:rPr>
          <w:color w:val="FF0000"/>
        </w:rPr>
      </w:pPr>
    </w:p>
    <w:p w14:paraId="F1000000">
      <w:pPr>
        <w:pStyle w:val="Style_2"/>
        <w:ind w:firstLine="0" w:left="0"/>
        <w:contextualSpacing w:val="1"/>
        <w:jc w:val="both"/>
      </w:pPr>
      <w:r>
        <w:rPr>
          <w:rFonts w:ascii="Times New Roman" w:hAnsi="Times New Roman"/>
          <w:sz w:val="28"/>
        </w:rPr>
        <w:t xml:space="preserve">      Управляющий делами </w:t>
      </w:r>
    </w:p>
    <w:p w14:paraId="F2000000">
      <w:pPr>
        <w:pStyle w:val="Style_2"/>
        <w:ind w:firstLine="0" w:left="0"/>
        <w:contextualSpacing w:val="1"/>
        <w:jc w:val="both"/>
      </w:pPr>
      <w:r>
        <w:rPr>
          <w:rFonts w:ascii="Times New Roman" w:hAnsi="Times New Roman"/>
          <w:sz w:val="28"/>
        </w:rPr>
        <w:t>Администрации города Донецка                                              Д.В. Китаева</w:t>
      </w:r>
    </w:p>
    <w:p w14:paraId="F3000000">
      <w:pPr>
        <w:pStyle w:val="Style_2"/>
        <w:ind w:firstLine="0" w:left="0"/>
        <w:contextualSpacing w:val="1"/>
        <w:jc w:val="both"/>
      </w:pPr>
    </w:p>
    <w:p w14:paraId="F4000000">
      <w:pPr>
        <w:pStyle w:val="Style_2"/>
        <w:ind w:firstLine="0" w:left="0"/>
        <w:contextualSpacing w:val="1"/>
        <w:jc w:val="both"/>
      </w:pPr>
    </w:p>
    <w:p w14:paraId="F5000000">
      <w:pPr>
        <w:pStyle w:val="Style_2"/>
        <w:ind w:firstLine="0" w:left="0"/>
        <w:contextualSpacing w:val="1"/>
        <w:jc w:val="both"/>
      </w:pPr>
    </w:p>
    <w:p w14:paraId="F6000000">
      <w:pPr>
        <w:pStyle w:val="Style_2"/>
        <w:ind w:firstLine="0" w:left="0"/>
        <w:contextualSpacing w:val="1"/>
        <w:jc w:val="both"/>
      </w:pPr>
    </w:p>
    <w:p w14:paraId="F7000000">
      <w:pPr>
        <w:pStyle w:val="Style_2"/>
        <w:ind w:firstLine="0" w:left="0"/>
        <w:contextualSpacing w:val="1"/>
        <w:jc w:val="both"/>
      </w:pPr>
    </w:p>
    <w:p w14:paraId="F8000000">
      <w:pPr>
        <w:sectPr>
          <w:headerReference r:id="rId1" w:type="default"/>
          <w:footerReference r:id="rId2" w:type="default"/>
          <w:pgSz w:h="16840" w:orient="portrait" w:w="11920"/>
          <w:pgMar w:bottom="409" w:footer="720" w:gutter="0" w:header="720" w:left="1188" w:right="850" w:top="274"/>
        </w:sectPr>
      </w:pPr>
    </w:p>
    <w:p w14:paraId="F9000000">
      <w:pPr>
        <w:ind w:hanging="992" w:left="6379"/>
        <w:jc w:val="right"/>
      </w:pPr>
      <w:r>
        <w:t>Приложение</w:t>
      </w:r>
      <w:r>
        <w:t xml:space="preserve"> 2</w:t>
      </w:r>
    </w:p>
    <w:p w14:paraId="FA000000">
      <w:pPr>
        <w:ind w:hanging="992" w:left="5103"/>
        <w:contextualSpacing w:val="1"/>
        <w:jc w:val="right"/>
        <w:rPr>
          <w:color w:val="000000"/>
        </w:rPr>
      </w:pPr>
      <w:r>
        <w:rPr>
          <w:spacing w:val="2"/>
        </w:rPr>
        <w:t>к Положению</w:t>
      </w:r>
      <w:r>
        <w:rPr>
          <w:spacing w:val="2"/>
        </w:rPr>
        <w:t xml:space="preserve"> </w:t>
      </w:r>
      <w:r>
        <w:rPr>
          <w:color w:val="000000"/>
        </w:rPr>
        <w:t>об условиях и порядке</w:t>
      </w:r>
    </w:p>
    <w:p w14:paraId="FB000000">
      <w:pPr>
        <w:ind w:hanging="992" w:left="5103"/>
        <w:contextualSpacing w:val="1"/>
        <w:jc w:val="right"/>
        <w:rPr>
          <w:color w:val="000000"/>
        </w:rPr>
      </w:pPr>
      <w:r>
        <w:rPr>
          <w:color w:val="000000"/>
        </w:rPr>
        <w:t xml:space="preserve"> оказания поддержки субъектам малого и</w:t>
      </w:r>
    </w:p>
    <w:p w14:paraId="FC000000">
      <w:pPr>
        <w:ind w:hanging="992" w:left="5103"/>
        <w:contextualSpacing w:val="1"/>
        <w:jc w:val="right"/>
        <w:rPr>
          <w:color w:val="000000"/>
        </w:rPr>
      </w:pPr>
      <w:r>
        <w:rPr>
          <w:color w:val="000000"/>
        </w:rPr>
        <w:t xml:space="preserve"> среднего предпринимательства и организациям,</w:t>
      </w:r>
    </w:p>
    <w:p w14:paraId="FD000000">
      <w:pPr>
        <w:ind w:hanging="992" w:left="5103"/>
        <w:contextualSpacing w:val="1"/>
        <w:jc w:val="right"/>
        <w:rPr>
          <w:color w:val="000000"/>
        </w:rPr>
      </w:pPr>
      <w:r>
        <w:rPr>
          <w:color w:val="000000"/>
        </w:rPr>
        <w:t xml:space="preserve"> образующим инфраструктуру поддержки </w:t>
      </w:r>
    </w:p>
    <w:p w14:paraId="FE000000">
      <w:pPr>
        <w:ind w:hanging="992" w:left="5103"/>
        <w:contextualSpacing w:val="1"/>
        <w:jc w:val="right"/>
        <w:rPr>
          <w:color w:val="000000"/>
        </w:rPr>
      </w:pPr>
      <w:r>
        <w:rPr>
          <w:color w:val="000000"/>
        </w:rPr>
        <w:t>субъектов малого и среднего предпринимательства,</w:t>
      </w:r>
    </w:p>
    <w:p w14:paraId="FF000000">
      <w:pPr>
        <w:ind w:hanging="992" w:left="5103"/>
        <w:contextualSpacing w:val="1"/>
        <w:jc w:val="right"/>
        <w:rPr>
          <w:color w:val="000000"/>
        </w:rPr>
      </w:pPr>
      <w:r>
        <w:rPr>
          <w:color w:val="000000"/>
        </w:rPr>
        <w:t xml:space="preserve"> на территории муниципального образования </w:t>
      </w:r>
    </w:p>
    <w:p w14:paraId="00010000">
      <w:pPr>
        <w:ind w:hanging="992" w:left="5103"/>
        <w:contextualSpacing w:val="1"/>
        <w:jc w:val="right"/>
        <w:rPr>
          <w:color w:val="000000"/>
        </w:rPr>
      </w:pPr>
      <w:r>
        <w:rPr>
          <w:color w:val="000000"/>
        </w:rPr>
        <w:t>«Город Донецк»</w:t>
      </w:r>
    </w:p>
    <w:p w14:paraId="01010000">
      <w:pPr>
        <w:ind w:firstLine="1306" w:left="139" w:right="62"/>
        <w:rPr>
          <w:color w:val="FF0000"/>
        </w:rPr>
      </w:pPr>
    </w:p>
    <w:p w14:paraId="02010000">
      <w:pPr>
        <w:ind w:firstLine="1306" w:left="139" w:right="62"/>
        <w:jc w:val="center"/>
        <w:rPr>
          <w:color w:val="000000"/>
        </w:rPr>
      </w:pPr>
      <w:r>
        <w:rPr>
          <w:color w:val="000000"/>
        </w:rPr>
        <w:t>Реестр</w:t>
      </w:r>
    </w:p>
    <w:p w14:paraId="03010000">
      <w:pPr>
        <w:ind w:firstLine="1306" w:left="139" w:right="62"/>
        <w:jc w:val="center"/>
        <w:rPr>
          <w:color w:val="000000"/>
        </w:rPr>
      </w:pPr>
      <w:r>
        <w:rPr>
          <w:color w:val="000000"/>
        </w:rPr>
        <w:t xml:space="preserve"> субъектов малого и среднего предпринимательства и организаций, </w:t>
      </w:r>
    </w:p>
    <w:p w14:paraId="04010000">
      <w:pPr>
        <w:ind w:firstLine="1306" w:left="139" w:right="62"/>
        <w:jc w:val="center"/>
        <w:rPr>
          <w:color w:val="000000"/>
        </w:rPr>
      </w:pPr>
      <w:r>
        <w:rPr>
          <w:color w:val="000000"/>
        </w:rPr>
        <w:t xml:space="preserve">образующих инфраструктуру поддержки субъектов малого и среднего предпринимательства, </w:t>
      </w:r>
    </w:p>
    <w:p w14:paraId="05010000">
      <w:pPr>
        <w:ind w:firstLine="1306" w:left="139" w:right="62"/>
        <w:jc w:val="center"/>
        <w:rPr>
          <w:color w:val="000000"/>
        </w:rPr>
      </w:pPr>
      <w:r>
        <w:rPr>
          <w:color w:val="000000"/>
        </w:rPr>
        <w:t xml:space="preserve">на территории муниципального образования «Город Донецк», </w:t>
      </w:r>
      <w:r>
        <w:rPr>
          <w:color w:val="000000"/>
        </w:rPr>
        <w:t xml:space="preserve">- </w:t>
      </w:r>
    </w:p>
    <w:p w14:paraId="06010000">
      <w:pPr>
        <w:ind w:firstLine="1306" w:left="139" w:right="62"/>
        <w:jc w:val="center"/>
        <w:rPr>
          <w:color w:val="000000"/>
        </w:rPr>
      </w:pPr>
      <w:r>
        <w:rPr>
          <w:color w:val="000000"/>
        </w:rPr>
        <w:t xml:space="preserve">получателей поддержки на территории </w:t>
      </w:r>
      <w:r>
        <w:rPr>
          <w:color w:val="000000"/>
        </w:rPr>
        <w:t>муниципального образования «Город Донецк»</w:t>
      </w:r>
    </w:p>
    <w:tbl>
      <w:tblPr>
        <w:tblStyle w:val="Style_1"/>
        <w:tblInd w:type="dxa" w:w="-368"/>
        <w:tblLayout w:type="fixed"/>
        <w:tblCellMar>
          <w:top w:type="dxa" w:w="3"/>
          <w:left w:type="dxa" w:w="81"/>
          <w:right w:type="dxa" w:w="81"/>
        </w:tblCellMar>
      </w:tblPr>
      <w:tblGrid>
        <w:gridCol w:w="1141"/>
        <w:gridCol w:w="1492"/>
        <w:gridCol w:w="2603"/>
        <w:gridCol w:w="2143"/>
        <w:gridCol w:w="1575"/>
        <w:gridCol w:w="1418"/>
        <w:gridCol w:w="1417"/>
        <w:gridCol w:w="1134"/>
        <w:gridCol w:w="1918"/>
      </w:tblGrid>
      <w:tr>
        <w:trPr>
          <w:trHeight w:hRule="atLeast" w:val="826"/>
        </w:trPr>
        <w:tc>
          <w:tcPr>
            <w:tcW w:type="dxa" w:w="1141"/>
            <w:vMerge w:val="restart"/>
            <w:tcBorders>
              <w:top w:color="000000" w:sz="2" w:val="single"/>
              <w:left w:color="000000" w:sz="2" w:val="single"/>
              <w:bottom w:color="000000" w:sz="2" w:val="single"/>
              <w:right w:color="000000" w:sz="2" w:val="single"/>
            </w:tcBorders>
            <w:shd w:fill="auto" w:val="clear"/>
            <w:tcMar>
              <w:top w:type="dxa" w:w="3"/>
              <w:left w:type="dxa" w:w="81"/>
              <w:right w:type="dxa" w:w="81"/>
            </w:tcMar>
          </w:tcPr>
          <w:p w14:paraId="07010000">
            <w:pPr>
              <w:spacing w:after="0" w:line="240" w:lineRule="auto"/>
              <w:ind w:firstLine="100" w:left="0" w:right="0"/>
              <w:jc w:val="center"/>
              <w:rPr>
                <w:color w:val="000000"/>
              </w:rPr>
            </w:pPr>
            <w:r>
              <w:rPr>
                <w:color w:val="000000"/>
                <w:sz w:val="24"/>
              </w:rPr>
              <w:t>Номер реестров ой записи и дата включен</w:t>
            </w:r>
            <w:r>
              <w:rPr>
                <w:color w:val="000000"/>
                <w:sz w:val="24"/>
              </w:rPr>
              <w:t>ия</w:t>
            </w:r>
          </w:p>
          <w:p w14:paraId="08010000">
            <w:pPr>
              <w:spacing w:after="0" w:line="240" w:lineRule="auto"/>
              <w:ind w:firstLine="0" w:left="0" w:right="0"/>
              <w:jc w:val="center"/>
              <w:rPr>
                <w:color w:val="000000"/>
              </w:rPr>
            </w:pPr>
            <w:r>
              <w:rPr>
                <w:color w:val="000000"/>
                <w:sz w:val="24"/>
              </w:rPr>
              <w:t>с</w:t>
            </w:r>
            <w:r>
              <w:rPr>
                <w:color w:val="000000"/>
                <w:sz w:val="24"/>
              </w:rPr>
              <w:t>ведени</w:t>
            </w:r>
            <w:r>
              <w:rPr>
                <w:color w:val="000000"/>
                <w:sz w:val="24"/>
              </w:rPr>
              <w:t xml:space="preserve">й </w:t>
            </w:r>
            <w:r>
              <w:rPr>
                <w:color w:val="000000"/>
                <w:sz w:val="24"/>
              </w:rPr>
              <w:t>в</w:t>
            </w:r>
          </w:p>
          <w:p w14:paraId="09010000">
            <w:pPr>
              <w:spacing w:after="0" w:line="240" w:lineRule="auto"/>
              <w:ind w:firstLine="0" w:left="0" w:right="0"/>
              <w:jc w:val="center"/>
              <w:rPr>
                <w:color w:val="000000"/>
              </w:rPr>
            </w:pPr>
            <w:r>
              <w:rPr>
                <w:color w:val="000000"/>
                <w:sz w:val="24"/>
              </w:rPr>
              <w:t>реестр</w:t>
            </w:r>
          </w:p>
        </w:tc>
        <w:tc>
          <w:tcPr>
            <w:tcW w:type="dxa" w:w="1492"/>
            <w:vMerge w:val="restart"/>
            <w:tcBorders>
              <w:top w:color="000000" w:sz="2" w:val="single"/>
              <w:left w:color="000000" w:sz="2" w:val="single"/>
              <w:bottom w:color="000000" w:sz="2" w:val="single"/>
              <w:right w:color="000000" w:sz="2" w:val="single"/>
            </w:tcBorders>
            <w:shd w:fill="auto" w:val="clear"/>
            <w:tcMar>
              <w:top w:type="dxa" w:w="3"/>
              <w:left w:type="dxa" w:w="81"/>
              <w:right w:type="dxa" w:w="81"/>
            </w:tcMar>
          </w:tcPr>
          <w:p w14:paraId="0A010000">
            <w:pPr>
              <w:spacing w:after="0" w:line="240" w:lineRule="auto"/>
              <w:ind w:firstLine="7" w:left="0" w:right="0"/>
              <w:jc w:val="center"/>
              <w:rPr>
                <w:color w:val="000000"/>
              </w:rPr>
            </w:pPr>
            <w:r>
              <w:rPr>
                <w:color w:val="000000"/>
                <w:sz w:val="24"/>
              </w:rPr>
              <w:t>Основание для включен</w:t>
            </w:r>
            <w:r>
              <w:rPr>
                <w:color w:val="000000"/>
                <w:sz w:val="24"/>
              </w:rPr>
              <w:t>ия</w:t>
            </w:r>
          </w:p>
          <w:p w14:paraId="0B010000">
            <w:pPr>
              <w:spacing w:after="0" w:line="240" w:lineRule="auto"/>
              <w:ind w:firstLine="0" w:left="0" w:right="0"/>
              <w:rPr>
                <w:color w:val="000000"/>
              </w:rPr>
            </w:pPr>
            <w:r>
              <w:rPr>
                <w:color w:val="000000"/>
                <w:sz w:val="24"/>
              </w:rPr>
              <w:t>с</w:t>
            </w:r>
            <w:r>
              <w:rPr>
                <w:color w:val="000000"/>
                <w:sz w:val="24"/>
              </w:rPr>
              <w:t>ведени</w:t>
            </w:r>
            <w:r>
              <w:rPr>
                <w:color w:val="000000"/>
                <w:sz w:val="24"/>
              </w:rPr>
              <w:t xml:space="preserve">й </w:t>
            </w:r>
            <w:r>
              <w:rPr>
                <w:color w:val="000000"/>
                <w:sz w:val="24"/>
              </w:rPr>
              <w:t>в</w:t>
            </w:r>
          </w:p>
          <w:p w14:paraId="0C010000">
            <w:pPr>
              <w:spacing w:after="0" w:line="240" w:lineRule="auto"/>
              <w:ind w:firstLine="0" w:left="0" w:right="0"/>
              <w:jc w:val="center"/>
              <w:rPr>
                <w:color w:val="000000"/>
              </w:rPr>
            </w:pPr>
            <w:r>
              <w:rPr>
                <w:color w:val="000000"/>
                <w:sz w:val="24"/>
              </w:rPr>
              <w:t>реестр</w:t>
            </w:r>
          </w:p>
        </w:tc>
        <w:tc>
          <w:tcPr>
            <w:tcW w:type="dxa" w:w="4746"/>
            <w:gridSpan w:val="2"/>
            <w:tcBorders>
              <w:top w:color="000000" w:sz="2" w:val="single"/>
              <w:left w:color="000000" w:sz="2" w:val="single"/>
              <w:bottom w:color="000000" w:sz="2" w:val="single"/>
              <w:right w:color="000000" w:sz="2" w:val="single"/>
            </w:tcBorders>
            <w:shd w:fill="auto" w:val="clear"/>
            <w:tcMar>
              <w:top w:type="dxa" w:w="3"/>
              <w:left w:type="dxa" w:w="81"/>
              <w:right w:type="dxa" w:w="81"/>
            </w:tcMar>
          </w:tcPr>
          <w:p w14:paraId="0D010000">
            <w:pPr>
              <w:spacing w:after="0" w:line="240" w:lineRule="auto"/>
              <w:ind w:hanging="100" w:left="100" w:right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Сведения о субъекте малого и среднего предпринимательства, - получателей </w:t>
            </w:r>
          </w:p>
          <w:p w14:paraId="0E010000">
            <w:pPr>
              <w:spacing w:after="0" w:line="240" w:lineRule="auto"/>
              <w:ind w:hanging="100" w:left="100" w:right="0"/>
              <w:jc w:val="center"/>
              <w:rPr>
                <w:color w:val="000000"/>
              </w:rPr>
            </w:pPr>
            <w:r>
              <w:rPr>
                <w:color w:val="000000"/>
                <w:sz w:val="24"/>
              </w:rPr>
              <w:t>подде</w:t>
            </w:r>
            <w:r>
              <w:rPr>
                <w:color w:val="000000"/>
                <w:sz w:val="24"/>
              </w:rPr>
              <w:t>р</w:t>
            </w:r>
            <w:r>
              <w:rPr>
                <w:color w:val="000000"/>
                <w:sz w:val="24"/>
              </w:rPr>
              <w:t>жки</w:t>
            </w:r>
          </w:p>
        </w:tc>
        <w:tc>
          <w:tcPr>
            <w:tcW w:type="dxa" w:w="5544"/>
            <w:gridSpan w:val="4"/>
            <w:tcBorders>
              <w:top w:color="000000" w:sz="2" w:val="single"/>
              <w:left w:color="000000" w:sz="2" w:val="single"/>
              <w:bottom w:color="000000" w:sz="2" w:val="single"/>
              <w:right w:color="000000" w:sz="2" w:val="single"/>
            </w:tcBorders>
            <w:shd w:fill="auto" w:val="clear"/>
            <w:tcMar>
              <w:top w:type="dxa" w:w="3"/>
              <w:left w:type="dxa" w:w="81"/>
              <w:right w:type="dxa" w:w="81"/>
            </w:tcMar>
          </w:tcPr>
          <w:p w14:paraId="0F010000">
            <w:pPr>
              <w:spacing w:after="0" w:line="240" w:lineRule="auto"/>
              <w:ind w:firstLine="0" w:left="0" w:right="0"/>
              <w:jc w:val="center"/>
              <w:rPr>
                <w:color w:val="000000"/>
              </w:rPr>
            </w:pPr>
            <w:r>
              <w:rPr>
                <w:color w:val="000000"/>
                <w:sz w:val="24"/>
              </w:rPr>
              <w:t>Сведения о предоставленной поддержке</w:t>
            </w:r>
          </w:p>
        </w:tc>
        <w:tc>
          <w:tcPr>
            <w:tcW w:type="dxa" w:w="1918"/>
            <w:vMerge w:val="restart"/>
            <w:tcBorders>
              <w:top w:color="000000" w:sz="2" w:val="single"/>
              <w:left w:color="000000" w:sz="2" w:val="single"/>
              <w:bottom w:color="000000" w:sz="2" w:val="single"/>
              <w:right w:color="000000" w:sz="2" w:val="single"/>
            </w:tcBorders>
            <w:shd w:fill="auto" w:val="clear"/>
            <w:tcMar>
              <w:top w:type="dxa" w:w="3"/>
              <w:left w:type="dxa" w:w="81"/>
              <w:right w:type="dxa" w:w="81"/>
            </w:tcMar>
          </w:tcPr>
          <w:p w14:paraId="10010000">
            <w:pPr>
              <w:spacing w:after="0" w:line="240" w:lineRule="auto"/>
              <w:ind w:firstLine="340" w:left="0" w:right="0"/>
              <w:jc w:val="center"/>
              <w:rPr>
                <w:color w:val="000000"/>
              </w:rPr>
            </w:pPr>
            <w:r>
              <w:rPr>
                <w:color w:val="000000"/>
                <w:sz w:val="24"/>
              </w:rPr>
              <w:t>Информация о нарушении порядка и условий предоставления поддержки (если имеется), в т.ч. о нецелевом использовании средств</w:t>
            </w:r>
          </w:p>
        </w:tc>
      </w:tr>
      <w:tr>
        <w:trPr>
          <w:trHeight w:hRule="atLeast" w:val="2309"/>
        </w:trPr>
        <w:tc>
          <w:tcPr>
            <w:tcW w:type="dxa" w:w="1141"/>
            <w:gridSpan w:val="1"/>
            <w:vMerge w:val="continue"/>
            <w:tcBorders>
              <w:top w:color="000000" w:sz="2" w:val="single"/>
              <w:left w:color="000000" w:sz="2" w:val="single"/>
              <w:bottom w:color="000000" w:sz="2" w:val="single"/>
              <w:right w:color="000000" w:sz="2" w:val="single"/>
            </w:tcBorders>
            <w:shd w:fill="auto" w:val="clear"/>
            <w:tcMar>
              <w:top w:type="dxa" w:w="3"/>
              <w:left w:type="dxa" w:w="81"/>
              <w:right w:type="dxa" w:w="81"/>
            </w:tcMar>
          </w:tcPr>
          <w:p/>
        </w:tc>
        <w:tc>
          <w:tcPr>
            <w:tcW w:type="dxa" w:w="1492"/>
            <w:gridSpan w:val="1"/>
            <w:vMerge w:val="continue"/>
            <w:tcBorders>
              <w:top w:color="000000" w:sz="2" w:val="single"/>
              <w:left w:color="000000" w:sz="2" w:val="single"/>
              <w:bottom w:color="000000" w:sz="2" w:val="single"/>
              <w:right w:color="000000" w:sz="2" w:val="single"/>
            </w:tcBorders>
            <w:shd w:fill="auto" w:val="clear"/>
            <w:tcMar>
              <w:top w:type="dxa" w:w="3"/>
              <w:left w:type="dxa" w:w="81"/>
              <w:right w:type="dxa" w:w="81"/>
            </w:tcMar>
          </w:tcPr>
          <w:p/>
        </w:tc>
        <w:tc>
          <w:tcPr>
            <w:tcW w:type="dxa" w:w="2603"/>
            <w:tcBorders>
              <w:top w:color="000000" w:sz="2" w:val="single"/>
              <w:left w:color="000000" w:sz="2" w:val="single"/>
              <w:bottom w:color="000000" w:sz="2" w:val="single"/>
              <w:right w:color="000000" w:sz="2" w:val="single"/>
            </w:tcBorders>
            <w:shd w:fill="auto" w:val="clear"/>
            <w:tcMar>
              <w:top w:type="dxa" w:w="3"/>
              <w:left w:type="dxa" w:w="81"/>
              <w:right w:type="dxa" w:w="81"/>
            </w:tcMar>
          </w:tcPr>
          <w:p w14:paraId="11010000">
            <w:pPr>
              <w:spacing w:after="0" w:line="240" w:lineRule="auto"/>
              <w:ind w:firstLine="33" w:left="0" w:right="0"/>
              <w:jc w:val="center"/>
              <w:rPr>
                <w:color w:val="000000"/>
              </w:rPr>
            </w:pPr>
            <w:r>
              <w:rPr>
                <w:color w:val="000000"/>
                <w:sz w:val="24"/>
              </w:rPr>
              <w:t>Наименование юридического лица или фамилия, имя и отчество</w:t>
            </w:r>
          </w:p>
          <w:p w14:paraId="12010000">
            <w:pPr>
              <w:spacing w:after="0" w:line="240" w:lineRule="auto"/>
              <w:ind w:firstLine="10" w:left="0" w:right="0"/>
              <w:jc w:val="center"/>
              <w:rPr>
                <w:color w:val="000000"/>
              </w:rPr>
            </w:pPr>
            <w:r>
              <w:rPr>
                <w:color w:val="000000"/>
                <w:sz w:val="24"/>
              </w:rPr>
              <w:t>(если имеется) индивидуального предпринимателя,</w:t>
            </w:r>
          </w:p>
        </w:tc>
        <w:tc>
          <w:tcPr>
            <w:tcW w:type="dxa" w:w="2143"/>
            <w:tcBorders>
              <w:top w:color="000000" w:sz="2" w:val="single"/>
              <w:left w:color="000000" w:sz="2" w:val="single"/>
              <w:bottom w:color="000000" w:sz="2" w:val="single"/>
              <w:right w:color="000000" w:sz="2" w:val="single"/>
            </w:tcBorders>
            <w:shd w:fill="auto" w:val="clear"/>
            <w:tcMar>
              <w:top w:type="dxa" w:w="3"/>
              <w:left w:type="dxa" w:w="81"/>
              <w:right w:type="dxa" w:w="81"/>
            </w:tcMar>
          </w:tcPr>
          <w:p w14:paraId="13010000">
            <w:pPr>
              <w:spacing w:after="0" w:line="240" w:lineRule="auto"/>
              <w:ind w:firstLine="0" w:left="0" w:right="0"/>
              <w:jc w:val="center"/>
              <w:rPr>
                <w:color w:val="000000"/>
              </w:rPr>
            </w:pPr>
            <w:r>
              <w:rPr>
                <w:color w:val="000000"/>
                <w:sz w:val="24"/>
              </w:rPr>
              <w:t>Идентификацион</w:t>
            </w:r>
            <w:r>
              <w:rPr>
                <w:color w:val="000000"/>
                <w:sz w:val="24"/>
              </w:rPr>
              <w:t>-</w:t>
            </w:r>
            <w:r>
              <w:rPr>
                <w:color w:val="000000"/>
                <w:sz w:val="24"/>
              </w:rPr>
              <w:t>ный</w:t>
            </w:r>
            <w:r>
              <w:rPr>
                <w:color w:val="000000"/>
                <w:sz w:val="24"/>
              </w:rPr>
              <w:t xml:space="preserve"> номер </w:t>
            </w:r>
            <w:r>
              <w:rPr>
                <w:color w:val="000000"/>
                <w:sz w:val="24"/>
              </w:rPr>
              <w:t>налогоплательщи</w:t>
            </w:r>
            <w:r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>ка</w:t>
            </w:r>
          </w:p>
        </w:tc>
        <w:tc>
          <w:tcPr>
            <w:tcW w:type="dxa" w:w="1575"/>
            <w:tcBorders>
              <w:top w:color="000000" w:sz="2" w:val="single"/>
              <w:left w:color="000000" w:sz="2" w:val="single"/>
              <w:bottom w:color="000000" w:sz="2" w:val="single"/>
              <w:right w:color="000000" w:sz="2" w:val="single"/>
            </w:tcBorders>
            <w:shd w:fill="auto" w:val="clear"/>
            <w:tcMar>
              <w:top w:type="dxa" w:w="3"/>
              <w:left w:type="dxa" w:w="81"/>
              <w:right w:type="dxa" w:w="81"/>
            </w:tcMar>
          </w:tcPr>
          <w:p w14:paraId="14010000">
            <w:pPr>
              <w:spacing w:after="0" w:line="240" w:lineRule="auto"/>
              <w:ind w:firstLine="0" w:left="0" w:right="0"/>
              <w:jc w:val="center"/>
              <w:rPr>
                <w:color w:val="000000"/>
              </w:rPr>
            </w:pPr>
            <w:r>
              <w:rPr>
                <w:color w:val="000000"/>
                <w:sz w:val="24"/>
              </w:rPr>
              <w:t>Вид поддержк</w:t>
            </w:r>
            <w:r>
              <w:rPr>
                <w:color w:val="000000"/>
                <w:sz w:val="24"/>
              </w:rPr>
              <w:t>и</w:t>
            </w:r>
          </w:p>
        </w:tc>
        <w:tc>
          <w:tcPr>
            <w:tcW w:type="dxa" w:w="1418"/>
            <w:tcBorders>
              <w:top w:color="000000" w:sz="2" w:val="single"/>
              <w:left w:color="000000" w:sz="2" w:val="single"/>
              <w:bottom w:color="000000" w:sz="2" w:val="single"/>
              <w:right w:color="000000" w:sz="2" w:val="single"/>
            </w:tcBorders>
            <w:shd w:fill="auto" w:val="clear"/>
            <w:tcMar>
              <w:top w:type="dxa" w:w="3"/>
              <w:left w:type="dxa" w:w="81"/>
              <w:right w:type="dxa" w:w="81"/>
            </w:tcMar>
          </w:tcPr>
          <w:p w14:paraId="15010000">
            <w:pPr>
              <w:spacing w:after="0" w:line="240" w:lineRule="auto"/>
              <w:ind w:firstLine="177" w:left="0" w:right="0"/>
              <w:jc w:val="left"/>
              <w:rPr>
                <w:color w:val="000000"/>
              </w:rPr>
            </w:pPr>
            <w:r>
              <w:rPr>
                <w:color w:val="000000"/>
                <w:sz w:val="24"/>
              </w:rPr>
              <w:t>Форма поддерж</w:t>
            </w:r>
            <w:r>
              <w:rPr>
                <w:color w:val="000000"/>
                <w:sz w:val="24"/>
              </w:rPr>
              <w:t>к</w:t>
            </w:r>
            <w:r>
              <w:rPr>
                <w:color w:val="000000"/>
                <w:sz w:val="24"/>
              </w:rPr>
              <w:t>и</w:t>
            </w:r>
          </w:p>
        </w:tc>
        <w:tc>
          <w:tcPr>
            <w:tcW w:type="dxa" w:w="1417"/>
            <w:tcBorders>
              <w:top w:color="000000" w:sz="2" w:val="single"/>
              <w:left w:color="000000" w:sz="2" w:val="single"/>
              <w:bottom w:color="000000" w:sz="2" w:val="single"/>
              <w:right w:color="000000" w:sz="2" w:val="single"/>
            </w:tcBorders>
            <w:shd w:fill="auto" w:val="clear"/>
            <w:tcMar>
              <w:top w:type="dxa" w:w="3"/>
              <w:left w:type="dxa" w:w="81"/>
              <w:right w:type="dxa" w:w="81"/>
            </w:tcMar>
          </w:tcPr>
          <w:p w14:paraId="16010000">
            <w:pPr>
              <w:spacing w:after="0" w:line="240" w:lineRule="auto"/>
              <w:ind w:firstLine="0" w:left="0" w:right="0"/>
              <w:jc w:val="center"/>
              <w:rPr>
                <w:color w:val="000000"/>
              </w:rPr>
            </w:pPr>
            <w:r>
              <w:rPr>
                <w:color w:val="000000"/>
                <w:sz w:val="24"/>
              </w:rPr>
              <w:t>Размер поддержки</w:t>
            </w:r>
          </w:p>
        </w:tc>
        <w:tc>
          <w:tcPr>
            <w:tcW w:type="dxa" w:w="1134"/>
            <w:tcBorders>
              <w:top w:color="000000" w:sz="2" w:val="single"/>
              <w:left w:color="000000" w:sz="2" w:val="single"/>
              <w:bottom w:color="000000" w:sz="2" w:val="single"/>
              <w:right w:color="000000" w:sz="2" w:val="single"/>
            </w:tcBorders>
            <w:shd w:fill="auto" w:val="clear"/>
            <w:tcMar>
              <w:top w:type="dxa" w:w="3"/>
              <w:left w:type="dxa" w:w="81"/>
              <w:right w:type="dxa" w:w="81"/>
            </w:tcMar>
          </w:tcPr>
          <w:p w14:paraId="17010000">
            <w:pPr>
              <w:spacing w:after="0" w:line="240" w:lineRule="auto"/>
              <w:ind w:firstLine="158" w:left="0" w:right="0"/>
              <w:jc w:val="center"/>
              <w:rPr>
                <w:color w:val="000000"/>
              </w:rPr>
            </w:pPr>
            <w:r>
              <w:rPr>
                <w:color w:val="000000"/>
                <w:sz w:val="24"/>
              </w:rPr>
              <w:t xml:space="preserve">Срок оказания </w:t>
            </w:r>
            <w:r>
              <w:rPr>
                <w:color w:val="000000"/>
                <w:sz w:val="24"/>
              </w:rPr>
              <w:t>поддерж</w:t>
            </w:r>
            <w:r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>ки</w:t>
            </w:r>
          </w:p>
        </w:tc>
        <w:tc>
          <w:tcPr>
            <w:tcW w:type="dxa" w:w="1918"/>
            <w:gridSpan w:val="1"/>
            <w:vMerge w:val="continue"/>
            <w:tcBorders>
              <w:top w:color="000000" w:sz="2" w:val="single"/>
              <w:left w:color="000000" w:sz="2" w:val="single"/>
              <w:bottom w:color="000000" w:sz="2" w:val="single"/>
              <w:right w:color="000000" w:sz="2" w:val="single"/>
            </w:tcBorders>
            <w:shd w:fill="auto" w:val="clear"/>
            <w:tcMar>
              <w:top w:type="dxa" w:w="3"/>
              <w:left w:type="dxa" w:w="81"/>
              <w:right w:type="dxa" w:w="81"/>
            </w:tcMar>
          </w:tcPr>
          <w:p/>
        </w:tc>
      </w:tr>
      <w:tr>
        <w:trPr>
          <w:trHeight w:hRule="atLeast" w:val="288"/>
        </w:trPr>
        <w:tc>
          <w:tcPr>
            <w:tcW w:type="dxa" w:w="1141"/>
            <w:tcBorders>
              <w:top w:color="000000" w:sz="2" w:val="single"/>
              <w:left w:color="000000" w:sz="2" w:val="single"/>
              <w:bottom w:color="000000" w:sz="2" w:val="single"/>
              <w:right w:color="000000" w:sz="2" w:val="single"/>
            </w:tcBorders>
            <w:shd w:fill="auto" w:val="clear"/>
            <w:tcMar>
              <w:top w:type="dxa" w:w="3"/>
              <w:left w:type="dxa" w:w="81"/>
              <w:right w:type="dxa" w:w="81"/>
            </w:tcMar>
          </w:tcPr>
          <w:p w14:paraId="18010000">
            <w:pPr>
              <w:spacing w:after="0" w:line="240" w:lineRule="auto"/>
              <w:ind w:firstLine="0" w:left="0" w:right="0"/>
              <w:jc w:val="center"/>
              <w:rPr>
                <w:color w:val="000000"/>
              </w:rPr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type="dxa" w:w="1492"/>
            <w:tcBorders>
              <w:top w:color="000000" w:sz="2" w:val="single"/>
              <w:left w:color="000000" w:sz="2" w:val="single"/>
              <w:bottom w:color="000000" w:sz="2" w:val="single"/>
              <w:right w:color="000000" w:sz="2" w:val="single"/>
            </w:tcBorders>
            <w:shd w:fill="auto" w:val="clear"/>
            <w:tcMar>
              <w:top w:type="dxa" w:w="3"/>
              <w:left w:type="dxa" w:w="81"/>
              <w:right w:type="dxa" w:w="81"/>
            </w:tcMar>
          </w:tcPr>
          <w:p w14:paraId="19010000">
            <w:pPr>
              <w:spacing w:after="0" w:line="240" w:lineRule="auto"/>
              <w:ind w:firstLine="0" w:left="0" w:right="0"/>
              <w:jc w:val="center"/>
              <w:rPr>
                <w:color w:val="000000"/>
              </w:rPr>
            </w:pPr>
            <w:r>
              <w:rPr>
                <w:color w:val="000000"/>
                <w:sz w:val="24"/>
              </w:rPr>
              <w:t>2</w:t>
            </w:r>
          </w:p>
        </w:tc>
        <w:tc>
          <w:tcPr>
            <w:tcW w:type="dxa" w:w="2603"/>
            <w:tcBorders>
              <w:top w:color="000000" w:sz="2" w:val="single"/>
              <w:left w:color="000000" w:sz="2" w:val="single"/>
              <w:bottom w:color="000000" w:sz="2" w:val="single"/>
              <w:right w:color="000000" w:sz="2" w:val="single"/>
            </w:tcBorders>
            <w:shd w:fill="auto" w:val="clear"/>
            <w:tcMar>
              <w:top w:type="dxa" w:w="3"/>
              <w:left w:type="dxa" w:w="81"/>
              <w:right w:type="dxa" w:w="81"/>
            </w:tcMar>
          </w:tcPr>
          <w:p w14:paraId="1A010000">
            <w:pPr>
              <w:spacing w:after="0" w:line="240" w:lineRule="auto"/>
              <w:ind w:firstLine="0" w:left="0" w:right="0"/>
              <w:jc w:val="center"/>
              <w:rPr>
                <w:color w:val="000000"/>
              </w:rPr>
            </w:pPr>
            <w:r>
              <w:rPr>
                <w:color w:val="000000"/>
                <w:sz w:val="20"/>
              </w:rPr>
              <w:t>З</w:t>
            </w:r>
          </w:p>
        </w:tc>
        <w:tc>
          <w:tcPr>
            <w:tcW w:type="dxa" w:w="2143"/>
            <w:tcBorders>
              <w:top w:color="000000" w:sz="2" w:val="single"/>
              <w:left w:color="000000" w:sz="2" w:val="single"/>
              <w:bottom w:color="000000" w:sz="2" w:val="single"/>
              <w:right w:color="000000" w:sz="2" w:val="single"/>
            </w:tcBorders>
            <w:shd w:fill="auto" w:val="clear"/>
            <w:tcMar>
              <w:top w:type="dxa" w:w="3"/>
              <w:left w:type="dxa" w:w="81"/>
              <w:right w:type="dxa" w:w="81"/>
            </w:tcMar>
          </w:tcPr>
          <w:p w14:paraId="1B010000">
            <w:pPr>
              <w:spacing w:after="0" w:line="240" w:lineRule="auto"/>
              <w:ind w:firstLine="0" w:left="0" w:right="0"/>
              <w:jc w:val="center"/>
              <w:rPr>
                <w:color w:val="000000"/>
              </w:rPr>
            </w:pPr>
            <w:r>
              <w:rPr>
                <w:color w:val="000000"/>
                <w:sz w:val="24"/>
              </w:rPr>
              <w:t>4</w:t>
            </w:r>
          </w:p>
        </w:tc>
        <w:tc>
          <w:tcPr>
            <w:tcW w:type="dxa" w:w="1575"/>
            <w:tcBorders>
              <w:top w:color="000000" w:sz="2" w:val="single"/>
              <w:left w:color="000000" w:sz="2" w:val="single"/>
              <w:bottom w:color="000000" w:sz="2" w:val="single"/>
              <w:right w:color="000000" w:sz="2" w:val="single"/>
            </w:tcBorders>
            <w:shd w:fill="auto" w:val="clear"/>
            <w:tcMar>
              <w:top w:type="dxa" w:w="3"/>
              <w:left w:type="dxa" w:w="81"/>
              <w:right w:type="dxa" w:w="81"/>
            </w:tcMar>
          </w:tcPr>
          <w:p w14:paraId="1C010000">
            <w:pPr>
              <w:spacing w:after="0" w:line="240" w:lineRule="auto"/>
              <w:ind w:firstLine="0" w:left="0" w:right="0"/>
              <w:jc w:val="center"/>
              <w:rPr>
                <w:color w:val="000000"/>
              </w:rPr>
            </w:pPr>
            <w:r>
              <w:rPr>
                <w:color w:val="000000"/>
                <w:sz w:val="24"/>
              </w:rPr>
              <w:t>5</w:t>
            </w:r>
          </w:p>
        </w:tc>
        <w:tc>
          <w:tcPr>
            <w:tcW w:type="dxa" w:w="1418"/>
            <w:tcBorders>
              <w:top w:color="000000" w:sz="2" w:val="single"/>
              <w:left w:color="000000" w:sz="2" w:val="single"/>
              <w:bottom w:color="000000" w:sz="2" w:val="single"/>
              <w:right w:color="000000" w:sz="2" w:val="single"/>
            </w:tcBorders>
            <w:shd w:fill="auto" w:val="clear"/>
            <w:tcMar>
              <w:top w:type="dxa" w:w="3"/>
              <w:left w:type="dxa" w:w="81"/>
              <w:right w:type="dxa" w:w="81"/>
            </w:tcMar>
          </w:tcPr>
          <w:p w14:paraId="1D010000">
            <w:pPr>
              <w:spacing w:after="0" w:line="240" w:lineRule="auto"/>
              <w:ind w:firstLine="0" w:left="0" w:right="0"/>
              <w:jc w:val="center"/>
              <w:rPr>
                <w:color w:val="000000"/>
              </w:rPr>
            </w:pPr>
            <w:r>
              <w:rPr>
                <w:color w:val="000000"/>
                <w:sz w:val="24"/>
              </w:rPr>
              <w:t>6</w:t>
            </w:r>
          </w:p>
        </w:tc>
        <w:tc>
          <w:tcPr>
            <w:tcW w:type="dxa" w:w="1417"/>
            <w:tcBorders>
              <w:top w:color="000000" w:sz="2" w:val="single"/>
              <w:left w:color="000000" w:sz="2" w:val="single"/>
              <w:bottom w:color="000000" w:sz="2" w:val="single"/>
              <w:right w:color="000000" w:sz="2" w:val="single"/>
            </w:tcBorders>
            <w:shd w:fill="auto" w:val="clear"/>
            <w:tcMar>
              <w:top w:type="dxa" w:w="3"/>
              <w:left w:type="dxa" w:w="81"/>
              <w:right w:type="dxa" w:w="81"/>
            </w:tcMar>
          </w:tcPr>
          <w:p w14:paraId="1E010000">
            <w:pPr>
              <w:spacing w:after="0" w:line="240" w:lineRule="auto"/>
              <w:ind w:firstLine="0" w:left="0" w:right="0"/>
              <w:jc w:val="center"/>
              <w:rPr>
                <w:color w:val="000000"/>
              </w:rPr>
            </w:pPr>
            <w:r>
              <w:rPr>
                <w:color w:val="000000"/>
                <w:sz w:val="24"/>
              </w:rPr>
              <w:t>7</w:t>
            </w:r>
          </w:p>
        </w:tc>
        <w:tc>
          <w:tcPr>
            <w:tcW w:type="dxa" w:w="1134"/>
            <w:tcBorders>
              <w:top w:color="000000" w:sz="2" w:val="single"/>
              <w:left w:color="000000" w:sz="2" w:val="single"/>
              <w:bottom w:color="000000" w:sz="2" w:val="single"/>
              <w:right w:color="000000" w:sz="2" w:val="single"/>
            </w:tcBorders>
            <w:shd w:fill="auto" w:val="clear"/>
            <w:tcMar>
              <w:top w:type="dxa" w:w="3"/>
              <w:left w:type="dxa" w:w="81"/>
              <w:right w:type="dxa" w:w="81"/>
            </w:tcMar>
          </w:tcPr>
          <w:p w14:paraId="1F010000">
            <w:pPr>
              <w:spacing w:after="0" w:line="240" w:lineRule="auto"/>
              <w:ind w:firstLine="0" w:left="0" w:right="0"/>
              <w:jc w:val="center"/>
              <w:rPr>
                <w:color w:val="000000"/>
              </w:rPr>
            </w:pPr>
            <w:r>
              <w:rPr>
                <w:color w:val="000000"/>
                <w:sz w:val="24"/>
              </w:rPr>
              <w:t>8</w:t>
            </w:r>
          </w:p>
        </w:tc>
        <w:tc>
          <w:tcPr>
            <w:tcW w:type="dxa" w:w="1918"/>
            <w:tcBorders>
              <w:top w:color="000000" w:sz="2" w:val="single"/>
              <w:left w:color="000000" w:sz="2" w:val="single"/>
              <w:bottom w:color="000000" w:sz="2" w:val="single"/>
              <w:right w:color="000000" w:sz="2" w:val="single"/>
            </w:tcBorders>
            <w:shd w:fill="auto" w:val="clear"/>
            <w:tcMar>
              <w:top w:type="dxa" w:w="3"/>
              <w:left w:type="dxa" w:w="81"/>
              <w:right w:type="dxa" w:w="81"/>
            </w:tcMar>
          </w:tcPr>
          <w:p w14:paraId="20010000">
            <w:pPr>
              <w:spacing w:after="0" w:line="240" w:lineRule="auto"/>
              <w:ind w:firstLine="0" w:left="0" w:right="0"/>
              <w:jc w:val="center"/>
              <w:rPr>
                <w:color w:val="000000"/>
              </w:rPr>
            </w:pPr>
            <w:r>
              <w:rPr>
                <w:color w:val="000000"/>
                <w:sz w:val="24"/>
              </w:rPr>
              <w:t>9</w:t>
            </w:r>
          </w:p>
        </w:tc>
      </w:tr>
      <w:tr>
        <w:trPr>
          <w:trHeight w:hRule="atLeast" w:val="283"/>
        </w:trPr>
        <w:tc>
          <w:tcPr>
            <w:tcW w:type="dxa" w:w="1141"/>
            <w:tcBorders>
              <w:top w:color="000000" w:sz="2" w:val="single"/>
              <w:left w:color="000000" w:sz="2" w:val="single"/>
              <w:bottom w:color="000000" w:sz="2" w:val="single"/>
              <w:right w:color="000000" w:sz="2" w:val="single"/>
            </w:tcBorders>
            <w:shd w:fill="auto" w:val="clear"/>
            <w:tcMar>
              <w:top w:type="dxa" w:w="3"/>
              <w:left w:type="dxa" w:w="81"/>
              <w:right w:type="dxa" w:w="81"/>
            </w:tcMar>
          </w:tcPr>
          <w:p w14:paraId="21010000">
            <w:pPr>
              <w:spacing w:after="123" w:line="264" w:lineRule="auto"/>
              <w:ind w:firstLine="0" w:left="0" w:right="0"/>
              <w:jc w:val="left"/>
              <w:rPr>
                <w:color w:val="FF0000"/>
              </w:rPr>
            </w:pPr>
          </w:p>
        </w:tc>
        <w:tc>
          <w:tcPr>
            <w:tcW w:type="dxa" w:w="1492"/>
            <w:tcBorders>
              <w:top w:color="000000" w:sz="2" w:val="single"/>
              <w:left w:color="000000" w:sz="2" w:val="single"/>
              <w:bottom w:color="000000" w:sz="2" w:val="single"/>
              <w:right w:color="000000" w:sz="2" w:val="single"/>
            </w:tcBorders>
            <w:shd w:fill="auto" w:val="clear"/>
            <w:tcMar>
              <w:top w:type="dxa" w:w="3"/>
              <w:left w:type="dxa" w:w="81"/>
              <w:right w:type="dxa" w:w="81"/>
            </w:tcMar>
          </w:tcPr>
          <w:p w14:paraId="22010000">
            <w:pPr>
              <w:spacing w:after="123" w:line="264" w:lineRule="auto"/>
              <w:ind w:firstLine="0" w:left="0" w:right="0"/>
              <w:jc w:val="left"/>
              <w:rPr>
                <w:color w:val="FF0000"/>
              </w:rPr>
            </w:pPr>
          </w:p>
        </w:tc>
        <w:tc>
          <w:tcPr>
            <w:tcW w:type="dxa" w:w="2603"/>
            <w:tcBorders>
              <w:top w:color="000000" w:sz="2" w:val="single"/>
              <w:left w:color="000000" w:sz="2" w:val="single"/>
              <w:bottom w:color="000000" w:sz="2" w:val="single"/>
              <w:right w:color="000000" w:sz="2" w:val="single"/>
            </w:tcBorders>
            <w:shd w:fill="auto" w:val="clear"/>
            <w:tcMar>
              <w:top w:type="dxa" w:w="3"/>
              <w:left w:type="dxa" w:w="81"/>
              <w:right w:type="dxa" w:w="81"/>
            </w:tcMar>
          </w:tcPr>
          <w:p w14:paraId="23010000">
            <w:pPr>
              <w:spacing w:after="123" w:line="264" w:lineRule="auto"/>
              <w:ind w:firstLine="0" w:left="0" w:right="0"/>
              <w:jc w:val="left"/>
              <w:rPr>
                <w:color w:val="FF0000"/>
              </w:rPr>
            </w:pPr>
          </w:p>
        </w:tc>
        <w:tc>
          <w:tcPr>
            <w:tcW w:type="dxa" w:w="2143"/>
            <w:tcBorders>
              <w:top w:color="000000" w:sz="2" w:val="single"/>
              <w:left w:color="000000" w:sz="2" w:val="single"/>
              <w:bottom w:color="000000" w:sz="2" w:val="single"/>
              <w:right w:color="000000" w:sz="2" w:val="single"/>
            </w:tcBorders>
            <w:shd w:fill="auto" w:val="clear"/>
            <w:tcMar>
              <w:top w:type="dxa" w:w="3"/>
              <w:left w:type="dxa" w:w="81"/>
              <w:right w:type="dxa" w:w="81"/>
            </w:tcMar>
          </w:tcPr>
          <w:p w14:paraId="24010000">
            <w:pPr>
              <w:spacing w:after="123" w:line="264" w:lineRule="auto"/>
              <w:ind w:firstLine="0" w:left="0" w:right="0"/>
              <w:jc w:val="left"/>
              <w:rPr>
                <w:color w:val="FF0000"/>
              </w:rPr>
            </w:pPr>
          </w:p>
        </w:tc>
        <w:tc>
          <w:tcPr>
            <w:tcW w:type="dxa" w:w="1575"/>
            <w:tcBorders>
              <w:top w:color="000000" w:sz="2" w:val="single"/>
              <w:left w:color="000000" w:sz="2" w:val="single"/>
              <w:bottom w:color="000000" w:sz="2" w:val="single"/>
              <w:right w:color="000000" w:sz="2" w:val="single"/>
            </w:tcBorders>
            <w:shd w:fill="auto" w:val="clear"/>
            <w:tcMar>
              <w:top w:type="dxa" w:w="3"/>
              <w:left w:type="dxa" w:w="81"/>
              <w:right w:type="dxa" w:w="81"/>
            </w:tcMar>
          </w:tcPr>
          <w:p w14:paraId="25010000">
            <w:pPr>
              <w:spacing w:after="123" w:line="264" w:lineRule="auto"/>
              <w:ind w:firstLine="0" w:left="0" w:right="0"/>
              <w:jc w:val="left"/>
              <w:rPr>
                <w:color w:val="FF0000"/>
              </w:rPr>
            </w:pPr>
          </w:p>
        </w:tc>
        <w:tc>
          <w:tcPr>
            <w:tcW w:type="dxa" w:w="1418"/>
            <w:tcBorders>
              <w:top w:color="000000" w:sz="2" w:val="single"/>
              <w:left w:color="000000" w:sz="2" w:val="single"/>
              <w:bottom w:color="000000" w:sz="2" w:val="single"/>
              <w:right w:color="000000" w:sz="2" w:val="single"/>
            </w:tcBorders>
            <w:shd w:fill="auto" w:val="clear"/>
            <w:tcMar>
              <w:top w:type="dxa" w:w="3"/>
              <w:left w:type="dxa" w:w="81"/>
              <w:right w:type="dxa" w:w="81"/>
            </w:tcMar>
          </w:tcPr>
          <w:p w14:paraId="26010000">
            <w:pPr>
              <w:spacing w:after="123" w:line="264" w:lineRule="auto"/>
              <w:ind w:firstLine="0" w:left="0" w:right="0"/>
              <w:jc w:val="left"/>
              <w:rPr>
                <w:color w:val="FF0000"/>
              </w:rPr>
            </w:pPr>
          </w:p>
        </w:tc>
        <w:tc>
          <w:tcPr>
            <w:tcW w:type="dxa" w:w="1417"/>
            <w:tcBorders>
              <w:top w:color="000000" w:sz="2" w:val="single"/>
              <w:left w:color="000000" w:sz="2" w:val="single"/>
              <w:bottom w:color="000000" w:sz="2" w:val="single"/>
              <w:right w:color="000000" w:sz="2" w:val="single"/>
            </w:tcBorders>
            <w:shd w:fill="auto" w:val="clear"/>
            <w:tcMar>
              <w:top w:type="dxa" w:w="3"/>
              <w:left w:type="dxa" w:w="81"/>
              <w:right w:type="dxa" w:w="81"/>
            </w:tcMar>
          </w:tcPr>
          <w:p w14:paraId="27010000">
            <w:pPr>
              <w:spacing w:after="123" w:line="264" w:lineRule="auto"/>
              <w:ind w:firstLine="0" w:left="0" w:right="0"/>
              <w:jc w:val="left"/>
              <w:rPr>
                <w:color w:val="FF0000"/>
              </w:rPr>
            </w:pPr>
          </w:p>
        </w:tc>
        <w:tc>
          <w:tcPr>
            <w:tcW w:type="dxa" w:w="1134"/>
            <w:tcBorders>
              <w:top w:color="000000" w:sz="2" w:val="single"/>
              <w:left w:color="000000" w:sz="2" w:val="single"/>
              <w:bottom w:color="000000" w:sz="2" w:val="single"/>
              <w:right w:color="000000" w:sz="2" w:val="single"/>
            </w:tcBorders>
            <w:shd w:fill="auto" w:val="clear"/>
            <w:tcMar>
              <w:top w:type="dxa" w:w="3"/>
              <w:left w:type="dxa" w:w="81"/>
              <w:right w:type="dxa" w:w="81"/>
            </w:tcMar>
          </w:tcPr>
          <w:p w14:paraId="28010000">
            <w:pPr>
              <w:spacing w:after="123" w:line="264" w:lineRule="auto"/>
              <w:ind w:firstLine="0" w:left="0" w:right="0"/>
              <w:jc w:val="left"/>
              <w:rPr>
                <w:color w:val="FF0000"/>
              </w:rPr>
            </w:pPr>
          </w:p>
        </w:tc>
        <w:tc>
          <w:tcPr>
            <w:tcW w:type="dxa" w:w="1918"/>
            <w:tcBorders>
              <w:top w:color="000000" w:sz="2" w:val="single"/>
              <w:left w:color="000000" w:sz="2" w:val="single"/>
              <w:bottom w:color="000000" w:sz="2" w:val="single"/>
              <w:right w:color="000000" w:sz="2" w:val="single"/>
            </w:tcBorders>
            <w:shd w:fill="auto" w:val="clear"/>
            <w:tcMar>
              <w:top w:type="dxa" w:w="3"/>
              <w:left w:type="dxa" w:w="81"/>
              <w:right w:type="dxa" w:w="81"/>
            </w:tcMar>
          </w:tcPr>
          <w:p w14:paraId="29010000">
            <w:pPr>
              <w:spacing w:after="123" w:line="264" w:lineRule="auto"/>
              <w:ind w:firstLine="0" w:left="0" w:right="0"/>
              <w:jc w:val="left"/>
              <w:rPr>
                <w:color w:val="FF0000"/>
              </w:rPr>
            </w:pPr>
          </w:p>
        </w:tc>
      </w:tr>
    </w:tbl>
    <w:p w14:paraId="2A010000">
      <w:pPr>
        <w:ind w:firstLine="0" w:left="0" w:right="62"/>
        <w:rPr>
          <w:color w:val="FF0000"/>
        </w:rPr>
      </w:pPr>
    </w:p>
    <w:sectPr>
      <w:headerReference r:id="rId3" w:type="default"/>
      <w:pgSz w:h="11920" w:orient="landscape" w:w="16840"/>
      <w:pgMar w:bottom="1440" w:footer="720" w:gutter="0" w:header="720" w:left="1378" w:right="979" w:top="1440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2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 w14:paraId="02000000"/>
</w:ftr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spacing w:after="160" w:line="264" w:lineRule="auto"/>
      <w:ind w:firstLine="0" w:left="0" w:right="0"/>
      <w:jc w:val="left"/>
    </w:pPr>
  </w:p>
</w:hdr>
</file>

<file path=word/header3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 w14:paraId="03000000">
    <w:pPr>
      <w:spacing w:after="160" w:line="264" w:lineRule="auto"/>
      <w:ind w:firstLine="0" w:left="0" w:right="0"/>
      <w:jc w:val="left"/>
    </w:pPr>
  </w:p>
</w:hd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numPicBullet w:numPicBulletId="1">
    <w:pict>
      <v:shapetype coordsize="21600,21600" filled="f" id="_x0000_t75" o:preferrelative="t" o:spt="75" path="m@4@5l@4@11@9@11@9@5xe" stroked="f">
        <v:path gradientshapeok="t" o:connecttype="rect" o:extrusionok="f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stroke joinstyle="miter"/>
        <o:lock aspectratio="t" v:ext="edit"/>
      </v:shapetype>
      <v:shape style="width:10pt;height:3pt" type="#_x0000_t75">
        <v:imagedata o:title="Title" r:id="rId1"/>
      </v:shape>
    </w:pict>
  </w:numPicBullet>
  <w:abstractNum w:abstractNumId="0">
    <w:lvl w:ilvl="0">
      <w:start w:val="1"/>
      <w:numFmt w:val="decimal"/>
      <w:lvlText w:val="%1."/>
      <w:lvlJc w:val="left"/>
      <w:pPr>
        <w:tabs>
          <w:tab w:leader="none" w:pos="567" w:val="left"/>
        </w:tabs>
        <w:ind w:firstLine="284" w:left="0"/>
      </w:pPr>
      <w:rPr>
        <w:rFonts w:ascii="Times New Roman" w:hAnsi="Times New Roman"/>
        <w:color w:val="000000"/>
        <w:sz w:val="28"/>
      </w:rPr>
    </w:lvl>
  </w:abstractNum>
  <w:abstractNum w:abstractNumId="1">
    <w:lvl w:ilvl="0">
      <w:start w:val="1"/>
      <w:numFmt w:val="decimal"/>
      <w:lvlText w:val="%1."/>
      <w:lvlJc w:val="left"/>
      <w:pPr>
        <w:ind w:firstLine="0" w:left="720"/>
      </w:pPr>
      <w:rPr>
        <w:rFonts w:ascii="Times New Roman" w:hAnsi="Times New Roman"/>
        <w:b w:val="0"/>
        <w:i w:val="0"/>
        <w:strike w:val="0"/>
        <w:color w:val="000000"/>
        <w:sz w:val="28"/>
        <w:u w:color="000000" w:val="none"/>
      </w:rPr>
    </w:lvl>
    <w:lvl w:ilvl="1">
      <w:start w:val="1"/>
      <w:numFmt w:val="lowerLetter"/>
      <w:lvlText w:val="%2"/>
      <w:lvlJc w:val="left"/>
      <w:pPr>
        <w:ind w:firstLine="0" w:left="2426"/>
      </w:pPr>
      <w:rPr>
        <w:rFonts w:ascii="Times New Roman" w:hAnsi="Times New Roman"/>
        <w:b w:val="0"/>
        <w:i w:val="0"/>
        <w:strike w:val="0"/>
        <w:color w:val="000000"/>
        <w:sz w:val="28"/>
        <w:u w:color="000000" w:val="none"/>
      </w:rPr>
    </w:lvl>
    <w:lvl w:ilvl="2">
      <w:start w:val="1"/>
      <w:numFmt w:val="lowerRoman"/>
      <w:lvlText w:val="%3"/>
      <w:lvlJc w:val="left"/>
      <w:pPr>
        <w:ind w:firstLine="0" w:left="3146"/>
      </w:pPr>
      <w:rPr>
        <w:rFonts w:ascii="Times New Roman" w:hAnsi="Times New Roman"/>
        <w:b w:val="0"/>
        <w:i w:val="0"/>
        <w:strike w:val="0"/>
        <w:color w:val="000000"/>
        <w:sz w:val="28"/>
        <w:u w:color="000000" w:val="none"/>
      </w:rPr>
    </w:lvl>
    <w:lvl w:ilvl="3">
      <w:start w:val="1"/>
      <w:numFmt w:val="decimal"/>
      <w:lvlText w:val="%4"/>
      <w:lvlJc w:val="left"/>
      <w:pPr>
        <w:ind w:firstLine="0" w:left="3866"/>
      </w:pPr>
      <w:rPr>
        <w:rFonts w:ascii="Times New Roman" w:hAnsi="Times New Roman"/>
        <w:b w:val="0"/>
        <w:i w:val="0"/>
        <w:strike w:val="0"/>
        <w:color w:val="000000"/>
        <w:sz w:val="28"/>
        <w:u w:color="000000" w:val="none"/>
      </w:rPr>
    </w:lvl>
    <w:lvl w:ilvl="4">
      <w:start w:val="1"/>
      <w:numFmt w:val="lowerLetter"/>
      <w:lvlText w:val="%5"/>
      <w:lvlJc w:val="left"/>
      <w:pPr>
        <w:ind w:firstLine="0" w:left="4586"/>
      </w:pPr>
      <w:rPr>
        <w:rFonts w:ascii="Times New Roman" w:hAnsi="Times New Roman"/>
        <w:b w:val="0"/>
        <w:i w:val="0"/>
        <w:strike w:val="0"/>
        <w:color w:val="000000"/>
        <w:sz w:val="28"/>
        <w:u w:color="000000" w:val="none"/>
      </w:rPr>
    </w:lvl>
    <w:lvl w:ilvl="5">
      <w:start w:val="1"/>
      <w:numFmt w:val="lowerRoman"/>
      <w:lvlText w:val="%6"/>
      <w:lvlJc w:val="left"/>
      <w:pPr>
        <w:ind w:firstLine="0" w:left="5306"/>
      </w:pPr>
      <w:rPr>
        <w:rFonts w:ascii="Times New Roman" w:hAnsi="Times New Roman"/>
        <w:b w:val="0"/>
        <w:i w:val="0"/>
        <w:strike w:val="0"/>
        <w:color w:val="000000"/>
        <w:sz w:val="28"/>
        <w:u w:color="000000" w:val="none"/>
      </w:rPr>
    </w:lvl>
    <w:lvl w:ilvl="6">
      <w:start w:val="1"/>
      <w:numFmt w:val="decimal"/>
      <w:lvlText w:val="%7"/>
      <w:lvlJc w:val="left"/>
      <w:pPr>
        <w:ind w:firstLine="0" w:left="6026"/>
      </w:pPr>
      <w:rPr>
        <w:rFonts w:ascii="Times New Roman" w:hAnsi="Times New Roman"/>
        <w:b w:val="0"/>
        <w:i w:val="0"/>
        <w:strike w:val="0"/>
        <w:color w:val="000000"/>
        <w:sz w:val="28"/>
        <w:u w:color="000000" w:val="none"/>
      </w:rPr>
    </w:lvl>
    <w:lvl w:ilvl="7">
      <w:start w:val="1"/>
      <w:numFmt w:val="lowerLetter"/>
      <w:lvlText w:val="%8"/>
      <w:lvlJc w:val="left"/>
      <w:pPr>
        <w:ind w:firstLine="0" w:left="6746"/>
      </w:pPr>
      <w:rPr>
        <w:rFonts w:ascii="Times New Roman" w:hAnsi="Times New Roman"/>
        <w:b w:val="0"/>
        <w:i w:val="0"/>
        <w:strike w:val="0"/>
        <w:color w:val="000000"/>
        <w:sz w:val="28"/>
        <w:u w:color="000000" w:val="none"/>
      </w:rPr>
    </w:lvl>
    <w:lvl w:ilvl="8">
      <w:start w:val="1"/>
      <w:numFmt w:val="lowerRoman"/>
      <w:lvlText w:val="%9"/>
      <w:lvlJc w:val="left"/>
      <w:pPr>
        <w:ind w:firstLine="0" w:left="7466"/>
      </w:pPr>
      <w:rPr>
        <w:rFonts w:ascii="Times New Roman" w:hAnsi="Times New Roman"/>
        <w:b w:val="0"/>
        <w:i w:val="0"/>
        <w:strike w:val="0"/>
        <w:color w:val="000000"/>
        <w:sz w:val="28"/>
        <w:u w:color="000000" w:val="none"/>
      </w:rPr>
    </w:lvl>
  </w:abstractNum>
  <w:abstractNum w:abstractNumId="2">
    <w:lvl w:ilvl="0">
      <w:start w:val="1"/>
      <w:numFmt w:val="decimal"/>
      <w:lvlText w:val="%1)"/>
      <w:lvlJc w:val="left"/>
      <w:pPr>
        <w:ind w:firstLine="0" w:left="139"/>
      </w:pPr>
      <w:rPr>
        <w:rFonts w:ascii="Times New Roman" w:hAnsi="Times New Roman"/>
        <w:b w:val="0"/>
        <w:i w:val="0"/>
        <w:strike w:val="0"/>
        <w:color w:val="000000"/>
        <w:sz w:val="28"/>
        <w:u w:color="000000" w:val="none"/>
      </w:rPr>
    </w:lvl>
    <w:lvl w:ilvl="1">
      <w:start w:val="1"/>
      <w:numFmt w:val="lowerLetter"/>
      <w:lvlText w:val="%2"/>
      <w:lvlJc w:val="left"/>
      <w:pPr>
        <w:ind w:firstLine="0" w:left="1850"/>
      </w:pPr>
      <w:rPr>
        <w:rFonts w:ascii="Times New Roman" w:hAnsi="Times New Roman"/>
        <w:b w:val="0"/>
        <w:i w:val="0"/>
        <w:strike w:val="0"/>
        <w:color w:val="000000"/>
        <w:sz w:val="28"/>
        <w:u w:color="000000" w:val="none"/>
      </w:rPr>
    </w:lvl>
    <w:lvl w:ilvl="2">
      <w:start w:val="1"/>
      <w:numFmt w:val="lowerRoman"/>
      <w:lvlText w:val="%3"/>
      <w:lvlJc w:val="left"/>
      <w:pPr>
        <w:ind w:firstLine="0" w:left="2570"/>
      </w:pPr>
      <w:rPr>
        <w:rFonts w:ascii="Times New Roman" w:hAnsi="Times New Roman"/>
        <w:b w:val="0"/>
        <w:i w:val="0"/>
        <w:strike w:val="0"/>
        <w:color w:val="000000"/>
        <w:sz w:val="28"/>
        <w:u w:color="000000" w:val="none"/>
      </w:rPr>
    </w:lvl>
    <w:lvl w:ilvl="3">
      <w:start w:val="1"/>
      <w:numFmt w:val="decimal"/>
      <w:lvlText w:val="%4"/>
      <w:lvlJc w:val="left"/>
      <w:pPr>
        <w:ind w:firstLine="0" w:left="3290"/>
      </w:pPr>
      <w:rPr>
        <w:rFonts w:ascii="Times New Roman" w:hAnsi="Times New Roman"/>
        <w:b w:val="0"/>
        <w:i w:val="0"/>
        <w:strike w:val="0"/>
        <w:color w:val="000000"/>
        <w:sz w:val="28"/>
        <w:u w:color="000000" w:val="none"/>
      </w:rPr>
    </w:lvl>
    <w:lvl w:ilvl="4">
      <w:start w:val="1"/>
      <w:numFmt w:val="lowerLetter"/>
      <w:lvlText w:val="%5"/>
      <w:lvlJc w:val="left"/>
      <w:pPr>
        <w:ind w:firstLine="0" w:left="4010"/>
      </w:pPr>
      <w:rPr>
        <w:rFonts w:ascii="Times New Roman" w:hAnsi="Times New Roman"/>
        <w:b w:val="0"/>
        <w:i w:val="0"/>
        <w:strike w:val="0"/>
        <w:color w:val="000000"/>
        <w:sz w:val="28"/>
        <w:u w:color="000000" w:val="none"/>
      </w:rPr>
    </w:lvl>
    <w:lvl w:ilvl="5">
      <w:start w:val="1"/>
      <w:numFmt w:val="lowerRoman"/>
      <w:lvlText w:val="%6"/>
      <w:lvlJc w:val="left"/>
      <w:pPr>
        <w:ind w:firstLine="0" w:left="4730"/>
      </w:pPr>
      <w:rPr>
        <w:rFonts w:ascii="Times New Roman" w:hAnsi="Times New Roman"/>
        <w:b w:val="0"/>
        <w:i w:val="0"/>
        <w:strike w:val="0"/>
        <w:color w:val="000000"/>
        <w:sz w:val="28"/>
        <w:u w:color="000000" w:val="none"/>
      </w:rPr>
    </w:lvl>
    <w:lvl w:ilvl="6">
      <w:start w:val="1"/>
      <w:numFmt w:val="decimal"/>
      <w:lvlText w:val="%7"/>
      <w:lvlJc w:val="left"/>
      <w:pPr>
        <w:ind w:firstLine="0" w:left="5450"/>
      </w:pPr>
      <w:rPr>
        <w:rFonts w:ascii="Times New Roman" w:hAnsi="Times New Roman"/>
        <w:b w:val="0"/>
        <w:i w:val="0"/>
        <w:strike w:val="0"/>
        <w:color w:val="000000"/>
        <w:sz w:val="28"/>
        <w:u w:color="000000" w:val="none"/>
      </w:rPr>
    </w:lvl>
    <w:lvl w:ilvl="7">
      <w:start w:val="1"/>
      <w:numFmt w:val="lowerLetter"/>
      <w:lvlText w:val="%8"/>
      <w:lvlJc w:val="left"/>
      <w:pPr>
        <w:ind w:firstLine="0" w:left="6170"/>
      </w:pPr>
      <w:rPr>
        <w:rFonts w:ascii="Times New Roman" w:hAnsi="Times New Roman"/>
        <w:b w:val="0"/>
        <w:i w:val="0"/>
        <w:strike w:val="0"/>
        <w:color w:val="000000"/>
        <w:sz w:val="28"/>
        <w:u w:color="000000" w:val="none"/>
      </w:rPr>
    </w:lvl>
    <w:lvl w:ilvl="8">
      <w:start w:val="1"/>
      <w:numFmt w:val="lowerRoman"/>
      <w:lvlText w:val="%9"/>
      <w:lvlJc w:val="left"/>
      <w:pPr>
        <w:ind w:firstLine="0" w:left="6890"/>
      </w:pPr>
      <w:rPr>
        <w:rFonts w:ascii="Times New Roman" w:hAnsi="Times New Roman"/>
        <w:b w:val="0"/>
        <w:i w:val="0"/>
        <w:strike w:val="0"/>
        <w:color w:val="000000"/>
        <w:sz w:val="28"/>
        <w:u w:color="000000" w:val="none"/>
      </w:rPr>
    </w:lvl>
  </w:abstractNum>
  <w:abstractNum w:abstractNumId="3">
    <w:lvl w:ilvl="0">
      <w:start w:val="1"/>
      <w:numFmt w:val="decimal"/>
      <w:lvlText w:val="%1)"/>
      <w:lvlJc w:val="left"/>
      <w:pPr>
        <w:ind w:firstLine="0" w:left="48"/>
      </w:pPr>
      <w:rPr>
        <w:rFonts w:ascii="Times New Roman" w:hAnsi="Times New Roman"/>
        <w:b w:val="0"/>
        <w:i w:val="0"/>
        <w:strike w:val="0"/>
        <w:color w:val="000000"/>
        <w:sz w:val="28"/>
        <w:u w:color="000000" w:val="none"/>
      </w:rPr>
    </w:lvl>
    <w:lvl w:ilvl="1">
      <w:start w:val="1"/>
      <w:numFmt w:val="lowerLetter"/>
      <w:lvlText w:val="%2"/>
      <w:lvlJc w:val="left"/>
      <w:pPr>
        <w:ind w:firstLine="0" w:left="1808"/>
      </w:pPr>
      <w:rPr>
        <w:rFonts w:ascii="Times New Roman" w:hAnsi="Times New Roman"/>
        <w:b w:val="0"/>
        <w:i w:val="0"/>
        <w:strike w:val="0"/>
        <w:color w:val="000000"/>
        <w:sz w:val="28"/>
        <w:u w:color="000000" w:val="none"/>
      </w:rPr>
    </w:lvl>
    <w:lvl w:ilvl="2">
      <w:start w:val="1"/>
      <w:numFmt w:val="lowerRoman"/>
      <w:lvlText w:val="%3"/>
      <w:lvlJc w:val="left"/>
      <w:pPr>
        <w:ind w:firstLine="0" w:left="2528"/>
      </w:pPr>
      <w:rPr>
        <w:rFonts w:ascii="Times New Roman" w:hAnsi="Times New Roman"/>
        <w:b w:val="0"/>
        <w:i w:val="0"/>
        <w:strike w:val="0"/>
        <w:color w:val="000000"/>
        <w:sz w:val="28"/>
        <w:u w:color="000000" w:val="none"/>
      </w:rPr>
    </w:lvl>
    <w:lvl w:ilvl="3">
      <w:start w:val="1"/>
      <w:numFmt w:val="decimal"/>
      <w:lvlText w:val="%4"/>
      <w:lvlJc w:val="left"/>
      <w:pPr>
        <w:ind w:firstLine="0" w:left="3248"/>
      </w:pPr>
      <w:rPr>
        <w:rFonts w:ascii="Times New Roman" w:hAnsi="Times New Roman"/>
        <w:b w:val="0"/>
        <w:i w:val="0"/>
        <w:strike w:val="0"/>
        <w:color w:val="000000"/>
        <w:sz w:val="28"/>
        <w:u w:color="000000" w:val="none"/>
      </w:rPr>
    </w:lvl>
    <w:lvl w:ilvl="4">
      <w:start w:val="1"/>
      <w:numFmt w:val="lowerLetter"/>
      <w:lvlText w:val="%5"/>
      <w:lvlJc w:val="left"/>
      <w:pPr>
        <w:ind w:firstLine="0" w:left="3968"/>
      </w:pPr>
      <w:rPr>
        <w:rFonts w:ascii="Times New Roman" w:hAnsi="Times New Roman"/>
        <w:b w:val="0"/>
        <w:i w:val="0"/>
        <w:strike w:val="0"/>
        <w:color w:val="000000"/>
        <w:sz w:val="28"/>
        <w:u w:color="000000" w:val="none"/>
      </w:rPr>
    </w:lvl>
    <w:lvl w:ilvl="5">
      <w:start w:val="1"/>
      <w:numFmt w:val="lowerRoman"/>
      <w:lvlText w:val="%6"/>
      <w:lvlJc w:val="left"/>
      <w:pPr>
        <w:ind w:firstLine="0" w:left="4688"/>
      </w:pPr>
      <w:rPr>
        <w:rFonts w:ascii="Times New Roman" w:hAnsi="Times New Roman"/>
        <w:b w:val="0"/>
        <w:i w:val="0"/>
        <w:strike w:val="0"/>
        <w:color w:val="000000"/>
        <w:sz w:val="28"/>
        <w:u w:color="000000" w:val="none"/>
      </w:rPr>
    </w:lvl>
    <w:lvl w:ilvl="6">
      <w:start w:val="1"/>
      <w:numFmt w:val="decimal"/>
      <w:lvlText w:val="%7"/>
      <w:lvlJc w:val="left"/>
      <w:pPr>
        <w:ind w:firstLine="0" w:left="5408"/>
      </w:pPr>
      <w:rPr>
        <w:rFonts w:ascii="Times New Roman" w:hAnsi="Times New Roman"/>
        <w:b w:val="0"/>
        <w:i w:val="0"/>
        <w:strike w:val="0"/>
        <w:color w:val="000000"/>
        <w:sz w:val="28"/>
        <w:u w:color="000000" w:val="none"/>
      </w:rPr>
    </w:lvl>
    <w:lvl w:ilvl="7">
      <w:start w:val="1"/>
      <w:numFmt w:val="lowerLetter"/>
      <w:lvlText w:val="%8"/>
      <w:lvlJc w:val="left"/>
      <w:pPr>
        <w:ind w:firstLine="0" w:left="6128"/>
      </w:pPr>
      <w:rPr>
        <w:rFonts w:ascii="Times New Roman" w:hAnsi="Times New Roman"/>
        <w:b w:val="0"/>
        <w:i w:val="0"/>
        <w:strike w:val="0"/>
        <w:color w:val="000000"/>
        <w:sz w:val="28"/>
        <w:u w:color="000000" w:val="none"/>
      </w:rPr>
    </w:lvl>
    <w:lvl w:ilvl="8">
      <w:start w:val="1"/>
      <w:numFmt w:val="lowerRoman"/>
      <w:lvlText w:val="%9"/>
      <w:lvlJc w:val="left"/>
      <w:pPr>
        <w:ind w:firstLine="0" w:left="6848"/>
      </w:pPr>
      <w:rPr>
        <w:rFonts w:ascii="Times New Roman" w:hAnsi="Times New Roman"/>
        <w:b w:val="0"/>
        <w:i w:val="0"/>
        <w:strike w:val="0"/>
        <w:color w:val="000000"/>
        <w:sz w:val="28"/>
        <w:u w:color="000000" w:val="none"/>
      </w:rPr>
    </w:lvl>
  </w:abstractNum>
  <w:abstractNum w:abstractNumId="4">
    <w:lvl w:ilvl="0">
      <w:start w:val="1"/>
      <w:numFmt w:val="decimal"/>
      <w:lvlText w:val="%1)"/>
      <w:lvlJc w:val="left"/>
      <w:pPr>
        <w:ind w:firstLine="0" w:left="139"/>
      </w:pPr>
      <w:rPr>
        <w:rFonts w:ascii="Times New Roman" w:hAnsi="Times New Roman"/>
        <w:b w:val="0"/>
        <w:i w:val="0"/>
        <w:strike w:val="0"/>
        <w:color w:val="000000"/>
        <w:sz w:val="28"/>
        <w:u w:color="000000" w:val="none"/>
      </w:rPr>
    </w:lvl>
    <w:lvl w:ilvl="1">
      <w:start w:val="1"/>
      <w:numFmt w:val="lowerLetter"/>
      <w:lvlText w:val="%2"/>
      <w:lvlJc w:val="left"/>
      <w:pPr>
        <w:ind w:firstLine="0" w:left="1870"/>
      </w:pPr>
      <w:rPr>
        <w:rFonts w:ascii="Times New Roman" w:hAnsi="Times New Roman"/>
        <w:b w:val="0"/>
        <w:i w:val="0"/>
        <w:strike w:val="0"/>
        <w:color w:val="000000"/>
        <w:sz w:val="28"/>
        <w:u w:color="000000" w:val="none"/>
      </w:rPr>
    </w:lvl>
    <w:lvl w:ilvl="2">
      <w:start w:val="1"/>
      <w:numFmt w:val="lowerRoman"/>
      <w:lvlText w:val="%3"/>
      <w:lvlJc w:val="left"/>
      <w:pPr>
        <w:ind w:firstLine="0" w:left="2590"/>
      </w:pPr>
      <w:rPr>
        <w:rFonts w:ascii="Times New Roman" w:hAnsi="Times New Roman"/>
        <w:b w:val="0"/>
        <w:i w:val="0"/>
        <w:strike w:val="0"/>
        <w:color w:val="000000"/>
        <w:sz w:val="28"/>
        <w:u w:color="000000" w:val="none"/>
      </w:rPr>
    </w:lvl>
    <w:lvl w:ilvl="3">
      <w:start w:val="1"/>
      <w:numFmt w:val="decimal"/>
      <w:lvlText w:val="%4"/>
      <w:lvlJc w:val="left"/>
      <w:pPr>
        <w:ind w:firstLine="0" w:left="3310"/>
      </w:pPr>
      <w:rPr>
        <w:rFonts w:ascii="Times New Roman" w:hAnsi="Times New Roman"/>
        <w:b w:val="0"/>
        <w:i w:val="0"/>
        <w:strike w:val="0"/>
        <w:color w:val="000000"/>
        <w:sz w:val="28"/>
        <w:u w:color="000000" w:val="none"/>
      </w:rPr>
    </w:lvl>
    <w:lvl w:ilvl="4">
      <w:start w:val="1"/>
      <w:numFmt w:val="lowerLetter"/>
      <w:lvlText w:val="%5"/>
      <w:lvlJc w:val="left"/>
      <w:pPr>
        <w:ind w:firstLine="0" w:left="4030"/>
      </w:pPr>
      <w:rPr>
        <w:rFonts w:ascii="Times New Roman" w:hAnsi="Times New Roman"/>
        <w:b w:val="0"/>
        <w:i w:val="0"/>
        <w:strike w:val="0"/>
        <w:color w:val="000000"/>
        <w:sz w:val="28"/>
        <w:u w:color="000000" w:val="none"/>
      </w:rPr>
    </w:lvl>
    <w:lvl w:ilvl="5">
      <w:start w:val="1"/>
      <w:numFmt w:val="lowerRoman"/>
      <w:lvlText w:val="%6"/>
      <w:lvlJc w:val="left"/>
      <w:pPr>
        <w:ind w:firstLine="0" w:left="4750"/>
      </w:pPr>
      <w:rPr>
        <w:rFonts w:ascii="Times New Roman" w:hAnsi="Times New Roman"/>
        <w:b w:val="0"/>
        <w:i w:val="0"/>
        <w:strike w:val="0"/>
        <w:color w:val="000000"/>
        <w:sz w:val="28"/>
        <w:u w:color="000000" w:val="none"/>
      </w:rPr>
    </w:lvl>
    <w:lvl w:ilvl="6">
      <w:start w:val="1"/>
      <w:numFmt w:val="decimal"/>
      <w:lvlText w:val="%7"/>
      <w:lvlJc w:val="left"/>
      <w:pPr>
        <w:ind w:firstLine="0" w:left="5470"/>
      </w:pPr>
      <w:rPr>
        <w:rFonts w:ascii="Times New Roman" w:hAnsi="Times New Roman"/>
        <w:b w:val="0"/>
        <w:i w:val="0"/>
        <w:strike w:val="0"/>
        <w:color w:val="000000"/>
        <w:sz w:val="28"/>
        <w:u w:color="000000" w:val="none"/>
      </w:rPr>
    </w:lvl>
    <w:lvl w:ilvl="7">
      <w:start w:val="1"/>
      <w:numFmt w:val="lowerLetter"/>
      <w:lvlText w:val="%8"/>
      <w:lvlJc w:val="left"/>
      <w:pPr>
        <w:ind w:firstLine="0" w:left="6190"/>
      </w:pPr>
      <w:rPr>
        <w:rFonts w:ascii="Times New Roman" w:hAnsi="Times New Roman"/>
        <w:b w:val="0"/>
        <w:i w:val="0"/>
        <w:strike w:val="0"/>
        <w:color w:val="000000"/>
        <w:sz w:val="28"/>
        <w:u w:color="000000" w:val="none"/>
      </w:rPr>
    </w:lvl>
    <w:lvl w:ilvl="8">
      <w:start w:val="1"/>
      <w:numFmt w:val="lowerRoman"/>
      <w:lvlText w:val="%9"/>
      <w:lvlJc w:val="left"/>
      <w:pPr>
        <w:ind w:firstLine="0" w:left="6910"/>
      </w:pPr>
      <w:rPr>
        <w:rFonts w:ascii="Times New Roman" w:hAnsi="Times New Roman"/>
        <w:b w:val="0"/>
        <w:i w:val="0"/>
        <w:strike w:val="0"/>
        <w:color w:val="000000"/>
        <w:sz w:val="28"/>
        <w:u w:color="000000" w:val="none"/>
      </w:rPr>
    </w:lvl>
  </w:abstractNum>
  <w:abstractNum w:abstractNumId="5">
    <w:lvl w:ilvl="0">
      <w:start w:val="1"/>
      <w:numFmt w:val="decimal"/>
      <w:lvlText w:val="%1."/>
      <w:lvlJc w:val="left"/>
      <w:pPr>
        <w:ind w:firstLine="0" w:left="148"/>
      </w:pPr>
      <w:rPr>
        <w:rFonts w:ascii="Times New Roman" w:hAnsi="Times New Roman"/>
        <w:b w:val="0"/>
        <w:i w:val="0"/>
        <w:strike w:val="0"/>
        <w:color w:val="000000"/>
        <w:sz w:val="28"/>
        <w:u w:color="000000" w:val="none"/>
      </w:rPr>
    </w:lvl>
    <w:lvl w:ilvl="1">
      <w:start w:val="1"/>
      <w:numFmt w:val="bullet"/>
      <w:lvlText w:val="•"/>
      <w:lvlPicBulletId w:val="1"/>
      <w:lvlJc w:val="left"/>
      <w:pPr>
        <w:ind w:firstLine="0" w:left="148"/>
      </w:pPr>
      <w:rPr>
        <w:rFonts w:ascii="Times New Roman" w:hAnsi="Times New Roman"/>
        <w:b w:val="0"/>
        <w:i w:val="0"/>
        <w:strike w:val="0"/>
        <w:color w:val="000000"/>
        <w:sz w:val="28"/>
        <w:u w:color="000000" w:val="none"/>
      </w:rPr>
    </w:lvl>
    <w:lvl w:ilvl="2">
      <w:start w:val="1"/>
      <w:numFmt w:val="bullet"/>
      <w:lvlText w:val="▪"/>
      <w:lvlJc w:val="left"/>
      <w:pPr>
        <w:ind w:firstLine="0" w:left="2006"/>
      </w:pPr>
      <w:rPr>
        <w:rFonts w:ascii="Times New Roman" w:hAnsi="Times New Roman"/>
        <w:b w:val="0"/>
        <w:i w:val="0"/>
        <w:strike w:val="0"/>
        <w:color w:val="000000"/>
        <w:sz w:val="28"/>
        <w:u w:color="000000" w:val="none"/>
      </w:rPr>
    </w:lvl>
    <w:lvl w:ilvl="3">
      <w:start w:val="1"/>
      <w:numFmt w:val="bullet"/>
      <w:lvlText w:val="•"/>
      <w:lvlJc w:val="left"/>
      <w:pPr>
        <w:ind w:firstLine="0" w:left="2726"/>
      </w:pPr>
      <w:rPr>
        <w:rFonts w:ascii="Times New Roman" w:hAnsi="Times New Roman"/>
        <w:b w:val="0"/>
        <w:i w:val="0"/>
        <w:strike w:val="0"/>
        <w:color w:val="000000"/>
        <w:sz w:val="28"/>
        <w:u w:color="000000" w:val="none"/>
      </w:rPr>
    </w:lvl>
    <w:lvl w:ilvl="4">
      <w:start w:val="1"/>
      <w:numFmt w:val="bullet"/>
      <w:lvlText w:val="o"/>
      <w:lvlJc w:val="left"/>
      <w:pPr>
        <w:ind w:firstLine="0" w:left="3446"/>
      </w:pPr>
      <w:rPr>
        <w:rFonts w:ascii="Times New Roman" w:hAnsi="Times New Roman"/>
        <w:b w:val="0"/>
        <w:i w:val="0"/>
        <w:strike w:val="0"/>
        <w:color w:val="000000"/>
        <w:sz w:val="28"/>
        <w:u w:color="000000" w:val="none"/>
      </w:rPr>
    </w:lvl>
    <w:lvl w:ilvl="5">
      <w:start w:val="1"/>
      <w:numFmt w:val="bullet"/>
      <w:lvlText w:val="▪"/>
      <w:lvlJc w:val="left"/>
      <w:pPr>
        <w:ind w:firstLine="0" w:left="4166"/>
      </w:pPr>
      <w:rPr>
        <w:rFonts w:ascii="Times New Roman" w:hAnsi="Times New Roman"/>
        <w:b w:val="0"/>
        <w:i w:val="0"/>
        <w:strike w:val="0"/>
        <w:color w:val="000000"/>
        <w:sz w:val="28"/>
        <w:u w:color="000000" w:val="none"/>
      </w:rPr>
    </w:lvl>
    <w:lvl w:ilvl="6">
      <w:start w:val="1"/>
      <w:numFmt w:val="bullet"/>
      <w:lvlText w:val="•"/>
      <w:lvlJc w:val="left"/>
      <w:pPr>
        <w:ind w:firstLine="0" w:left="4886"/>
      </w:pPr>
      <w:rPr>
        <w:rFonts w:ascii="Times New Roman" w:hAnsi="Times New Roman"/>
        <w:b w:val="0"/>
        <w:i w:val="0"/>
        <w:strike w:val="0"/>
        <w:color w:val="000000"/>
        <w:sz w:val="28"/>
        <w:u w:color="000000" w:val="none"/>
      </w:rPr>
    </w:lvl>
    <w:lvl w:ilvl="7">
      <w:start w:val="1"/>
      <w:numFmt w:val="bullet"/>
      <w:lvlText w:val="o"/>
      <w:lvlJc w:val="left"/>
      <w:pPr>
        <w:ind w:firstLine="0" w:left="5606"/>
      </w:pPr>
      <w:rPr>
        <w:rFonts w:ascii="Times New Roman" w:hAnsi="Times New Roman"/>
        <w:b w:val="0"/>
        <w:i w:val="0"/>
        <w:strike w:val="0"/>
        <w:color w:val="000000"/>
        <w:sz w:val="28"/>
        <w:u w:color="000000" w:val="none"/>
      </w:rPr>
    </w:lvl>
    <w:lvl w:ilvl="8">
      <w:start w:val="1"/>
      <w:numFmt w:val="bullet"/>
      <w:lvlText w:val="▪"/>
      <w:lvlJc w:val="left"/>
      <w:pPr>
        <w:ind w:firstLine="0" w:left="6326"/>
      </w:pPr>
      <w:rPr>
        <w:rFonts w:ascii="Times New Roman" w:hAnsi="Times New Roman"/>
        <w:b w:val="0"/>
        <w:i w:val="0"/>
        <w:strike w:val="0"/>
        <w:color w:val="000000"/>
        <w:sz w:val="28"/>
        <w:u w:color="000000" w:val="none"/>
      </w:rPr>
    </w:lvl>
  </w:abstractNum>
  <w:abstractNum w:abstractNumId="6">
    <w:lvl w:ilvl="0">
      <w:start w:val="4"/>
      <w:numFmt w:val="decimal"/>
      <w:lvlText w:val="%1."/>
      <w:lvlJc w:val="left"/>
      <w:pPr>
        <w:ind w:firstLine="0" w:left="139"/>
      </w:pPr>
      <w:rPr>
        <w:rFonts w:ascii="Times New Roman" w:hAnsi="Times New Roman"/>
        <w:b w:val="0"/>
        <w:i w:val="0"/>
        <w:strike w:val="0"/>
        <w:color w:val="000000"/>
        <w:sz w:val="28"/>
        <w:u w:color="000000" w:val="none"/>
      </w:rPr>
    </w:lvl>
    <w:lvl w:ilvl="1">
      <w:start w:val="1"/>
      <w:numFmt w:val="lowerLetter"/>
      <w:lvlText w:val="%2"/>
      <w:lvlJc w:val="left"/>
      <w:pPr>
        <w:ind w:firstLine="0" w:left="1874"/>
      </w:pPr>
      <w:rPr>
        <w:rFonts w:ascii="Times New Roman" w:hAnsi="Times New Roman"/>
        <w:b w:val="0"/>
        <w:i w:val="0"/>
        <w:strike w:val="0"/>
        <w:color w:val="000000"/>
        <w:sz w:val="28"/>
        <w:u w:color="000000" w:val="none"/>
      </w:rPr>
    </w:lvl>
    <w:lvl w:ilvl="2">
      <w:start w:val="1"/>
      <w:numFmt w:val="lowerRoman"/>
      <w:lvlText w:val="%3"/>
      <w:lvlJc w:val="left"/>
      <w:pPr>
        <w:ind w:firstLine="0" w:left="2594"/>
      </w:pPr>
      <w:rPr>
        <w:rFonts w:ascii="Times New Roman" w:hAnsi="Times New Roman"/>
        <w:b w:val="0"/>
        <w:i w:val="0"/>
        <w:strike w:val="0"/>
        <w:color w:val="000000"/>
        <w:sz w:val="28"/>
        <w:u w:color="000000" w:val="none"/>
      </w:rPr>
    </w:lvl>
    <w:lvl w:ilvl="3">
      <w:start w:val="1"/>
      <w:numFmt w:val="decimal"/>
      <w:lvlText w:val="%4"/>
      <w:lvlJc w:val="left"/>
      <w:pPr>
        <w:ind w:firstLine="0" w:left="3314"/>
      </w:pPr>
      <w:rPr>
        <w:rFonts w:ascii="Times New Roman" w:hAnsi="Times New Roman"/>
        <w:b w:val="0"/>
        <w:i w:val="0"/>
        <w:strike w:val="0"/>
        <w:color w:val="000000"/>
        <w:sz w:val="28"/>
        <w:u w:color="000000" w:val="none"/>
      </w:rPr>
    </w:lvl>
    <w:lvl w:ilvl="4">
      <w:start w:val="1"/>
      <w:numFmt w:val="lowerLetter"/>
      <w:lvlText w:val="%5"/>
      <w:lvlJc w:val="left"/>
      <w:pPr>
        <w:ind w:firstLine="0" w:left="4034"/>
      </w:pPr>
      <w:rPr>
        <w:rFonts w:ascii="Times New Roman" w:hAnsi="Times New Roman"/>
        <w:b w:val="0"/>
        <w:i w:val="0"/>
        <w:strike w:val="0"/>
        <w:color w:val="000000"/>
        <w:sz w:val="28"/>
        <w:u w:color="000000" w:val="none"/>
      </w:rPr>
    </w:lvl>
    <w:lvl w:ilvl="5">
      <w:start w:val="1"/>
      <w:numFmt w:val="lowerRoman"/>
      <w:lvlText w:val="%6"/>
      <w:lvlJc w:val="left"/>
      <w:pPr>
        <w:ind w:firstLine="0" w:left="4754"/>
      </w:pPr>
      <w:rPr>
        <w:rFonts w:ascii="Times New Roman" w:hAnsi="Times New Roman"/>
        <w:b w:val="0"/>
        <w:i w:val="0"/>
        <w:strike w:val="0"/>
        <w:color w:val="000000"/>
        <w:sz w:val="28"/>
        <w:u w:color="000000" w:val="none"/>
      </w:rPr>
    </w:lvl>
    <w:lvl w:ilvl="6">
      <w:start w:val="1"/>
      <w:numFmt w:val="decimal"/>
      <w:lvlText w:val="%7"/>
      <w:lvlJc w:val="left"/>
      <w:pPr>
        <w:ind w:firstLine="0" w:left="5474"/>
      </w:pPr>
      <w:rPr>
        <w:rFonts w:ascii="Times New Roman" w:hAnsi="Times New Roman"/>
        <w:b w:val="0"/>
        <w:i w:val="0"/>
        <w:strike w:val="0"/>
        <w:color w:val="000000"/>
        <w:sz w:val="28"/>
        <w:u w:color="000000" w:val="none"/>
      </w:rPr>
    </w:lvl>
    <w:lvl w:ilvl="7">
      <w:start w:val="1"/>
      <w:numFmt w:val="lowerLetter"/>
      <w:lvlText w:val="%8"/>
      <w:lvlJc w:val="left"/>
      <w:pPr>
        <w:ind w:firstLine="0" w:left="6194"/>
      </w:pPr>
      <w:rPr>
        <w:rFonts w:ascii="Times New Roman" w:hAnsi="Times New Roman"/>
        <w:b w:val="0"/>
        <w:i w:val="0"/>
        <w:strike w:val="0"/>
        <w:color w:val="000000"/>
        <w:sz w:val="28"/>
        <w:u w:color="000000" w:val="none"/>
      </w:rPr>
    </w:lvl>
    <w:lvl w:ilvl="8">
      <w:start w:val="1"/>
      <w:numFmt w:val="lowerRoman"/>
      <w:lvlText w:val="%9"/>
      <w:lvlJc w:val="left"/>
      <w:pPr>
        <w:ind w:firstLine="0" w:left="6914"/>
      </w:pPr>
      <w:rPr>
        <w:rFonts w:ascii="Times New Roman" w:hAnsi="Times New Roman"/>
        <w:b w:val="0"/>
        <w:i w:val="0"/>
        <w:strike w:val="0"/>
        <w:color w:val="000000"/>
        <w:sz w:val="28"/>
        <w:u w:color="000000" w:val="none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20"/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Calibri" w:hAnsi="Calibri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3" w:type="paragraph">
    <w:name w:val="Normal"/>
    <w:link w:val="Style_3_ch"/>
    <w:uiPriority w:val="0"/>
    <w:qFormat/>
    <w:pPr>
      <w:spacing w:after="5" w:line="252" w:lineRule="auto"/>
      <w:ind w:firstLine="686" w:left="0" w:right="163"/>
      <w:jc w:val="both"/>
    </w:pPr>
    <w:rPr>
      <w:rFonts w:ascii="Times New Roman" w:hAnsi="Times New Roman"/>
      <w:sz w:val="28"/>
    </w:rPr>
  </w:style>
  <w:style w:default="1" w:styleId="Style_3_ch" w:type="character">
    <w:name w:val="Normal"/>
    <w:link w:val="Style_3"/>
    <w:rPr>
      <w:rFonts w:ascii="Times New Roman" w:hAnsi="Times New Roman"/>
      <w:sz w:val="28"/>
    </w:rPr>
  </w:style>
  <w:style w:styleId="Style_4" w:type="paragraph">
    <w:name w:val="toc 2"/>
    <w:next w:val="Style_3"/>
    <w:link w:val="Style_4_ch"/>
    <w:uiPriority w:val="39"/>
    <w:pPr>
      <w:ind w:firstLine="0" w:left="200"/>
    </w:pPr>
    <w:rPr>
      <w:rFonts w:ascii="XO Thames" w:hAnsi="XO Thames"/>
      <w:sz w:val="28"/>
    </w:rPr>
  </w:style>
  <w:style w:styleId="Style_4_ch" w:type="character">
    <w:name w:val="toc 2"/>
    <w:link w:val="Style_4"/>
    <w:rPr>
      <w:rFonts w:ascii="XO Thames" w:hAnsi="XO Thames"/>
      <w:sz w:val="28"/>
    </w:rPr>
  </w:style>
  <w:style w:styleId="Style_5" w:type="paragraph">
    <w:name w:val="toc 4"/>
    <w:next w:val="Style_3"/>
    <w:link w:val="Style_5_ch"/>
    <w:uiPriority w:val="39"/>
    <w:pPr>
      <w:ind w:firstLine="0" w:left="600"/>
    </w:pPr>
    <w:rPr>
      <w:rFonts w:ascii="XO Thames" w:hAnsi="XO Thames"/>
      <w:sz w:val="28"/>
    </w:rPr>
  </w:style>
  <w:style w:styleId="Style_5_ch" w:type="character">
    <w:name w:val="toc 4"/>
    <w:link w:val="Style_5"/>
    <w:rPr>
      <w:rFonts w:ascii="XO Thames" w:hAnsi="XO Thames"/>
      <w:sz w:val="28"/>
    </w:rPr>
  </w:style>
  <w:style w:styleId="Style_6" w:type="paragraph">
    <w:name w:val="toc 6"/>
    <w:next w:val="Style_3"/>
    <w:link w:val="Style_6_ch"/>
    <w:uiPriority w:val="39"/>
    <w:pPr>
      <w:ind w:firstLine="0" w:left="1000"/>
    </w:pPr>
    <w:rPr>
      <w:rFonts w:ascii="XO Thames" w:hAnsi="XO Thames"/>
      <w:sz w:val="28"/>
    </w:rPr>
  </w:style>
  <w:style w:styleId="Style_6_ch" w:type="character">
    <w:name w:val="toc 6"/>
    <w:link w:val="Style_6"/>
    <w:rPr>
      <w:rFonts w:ascii="XO Thames" w:hAnsi="XO Thames"/>
      <w:sz w:val="28"/>
    </w:rPr>
  </w:style>
  <w:style w:styleId="Style_7" w:type="paragraph">
    <w:name w:val="toc 7"/>
    <w:next w:val="Style_3"/>
    <w:link w:val="Style_7_ch"/>
    <w:uiPriority w:val="39"/>
    <w:pPr>
      <w:ind w:firstLine="0" w:left="1200"/>
    </w:pPr>
    <w:rPr>
      <w:rFonts w:ascii="XO Thames" w:hAnsi="XO Thames"/>
      <w:sz w:val="28"/>
    </w:rPr>
  </w:style>
  <w:style w:styleId="Style_7_ch" w:type="character">
    <w:name w:val="toc 7"/>
    <w:link w:val="Style_7"/>
    <w:rPr>
      <w:rFonts w:ascii="XO Thames" w:hAnsi="XO Thames"/>
      <w:sz w:val="28"/>
    </w:rPr>
  </w:style>
  <w:style w:styleId="Style_2" w:type="paragraph">
    <w:name w:val="ConsPlusNormal"/>
    <w:link w:val="Style_2_ch"/>
    <w:pPr>
      <w:widowControl w:val="0"/>
      <w:ind w:firstLine="720" w:left="0"/>
    </w:pPr>
    <w:rPr>
      <w:rFonts w:ascii="Arial" w:hAnsi="Arial"/>
      <w:color w:val="000000"/>
    </w:rPr>
  </w:style>
  <w:style w:styleId="Style_2_ch" w:type="character">
    <w:name w:val="ConsPlusNormal"/>
    <w:link w:val="Style_2"/>
    <w:rPr>
      <w:rFonts w:ascii="Arial" w:hAnsi="Arial"/>
      <w:color w:val="000000"/>
    </w:rPr>
  </w:style>
  <w:style w:styleId="Style_8" w:type="paragraph">
    <w:name w:val="heading 3"/>
    <w:next w:val="Style_3"/>
    <w:link w:val="Style_8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8_ch" w:type="character">
    <w:name w:val="heading 3"/>
    <w:link w:val="Style_8"/>
    <w:rPr>
      <w:rFonts w:ascii="XO Thames" w:hAnsi="XO Thames"/>
      <w:b w:val="1"/>
      <w:sz w:val="26"/>
    </w:rPr>
  </w:style>
  <w:style w:styleId="Style_9" w:type="paragraph">
    <w:name w:val="Default Paragraph Font"/>
    <w:link w:val="Style_9_ch"/>
  </w:style>
  <w:style w:styleId="Style_9_ch" w:type="character">
    <w:name w:val="Default Paragraph Font"/>
    <w:link w:val="Style_9"/>
  </w:style>
  <w:style w:styleId="Style_10" w:type="paragraph">
    <w:name w:val="toc 3"/>
    <w:next w:val="Style_3"/>
    <w:link w:val="Style_10_ch"/>
    <w:uiPriority w:val="39"/>
    <w:pPr>
      <w:ind w:firstLine="0" w:left="400"/>
    </w:pPr>
    <w:rPr>
      <w:rFonts w:ascii="XO Thames" w:hAnsi="XO Thames"/>
      <w:sz w:val="28"/>
    </w:rPr>
  </w:style>
  <w:style w:styleId="Style_10_ch" w:type="character">
    <w:name w:val="toc 3"/>
    <w:link w:val="Style_10"/>
    <w:rPr>
      <w:rFonts w:ascii="XO Thames" w:hAnsi="XO Thames"/>
      <w:sz w:val="28"/>
    </w:rPr>
  </w:style>
  <w:style w:styleId="Style_11" w:type="paragraph">
    <w:name w:val="header"/>
    <w:basedOn w:val="Style_3"/>
    <w:link w:val="Style_11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1_ch" w:type="character">
    <w:name w:val="header"/>
    <w:basedOn w:val="Style_3_ch"/>
    <w:link w:val="Style_11"/>
  </w:style>
  <w:style w:styleId="Style_12" w:type="paragraph">
    <w:name w:val="List Paragraph"/>
    <w:basedOn w:val="Style_3"/>
    <w:link w:val="Style_12_ch"/>
    <w:pPr>
      <w:ind w:firstLine="0" w:left="720"/>
      <w:contextualSpacing w:val="1"/>
    </w:pPr>
  </w:style>
  <w:style w:styleId="Style_12_ch" w:type="character">
    <w:name w:val="List Paragraph"/>
    <w:basedOn w:val="Style_3_ch"/>
    <w:link w:val="Style_12"/>
  </w:style>
  <w:style w:styleId="Style_13" w:type="paragraph">
    <w:name w:val="heading 5"/>
    <w:next w:val="Style_3"/>
    <w:link w:val="Style_13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3_ch" w:type="character">
    <w:name w:val="heading 5"/>
    <w:link w:val="Style_13"/>
    <w:rPr>
      <w:rFonts w:ascii="XO Thames" w:hAnsi="XO Thames"/>
      <w:b w:val="1"/>
      <w:sz w:val="22"/>
    </w:rPr>
  </w:style>
  <w:style w:styleId="Style_14" w:type="paragraph">
    <w:name w:val="heading 1"/>
    <w:next w:val="Style_3"/>
    <w:link w:val="Style_14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4_ch" w:type="character">
    <w:name w:val="heading 1"/>
    <w:link w:val="Style_14"/>
    <w:rPr>
      <w:rFonts w:ascii="XO Thames" w:hAnsi="XO Thames"/>
      <w:b w:val="1"/>
      <w:sz w:val="32"/>
    </w:rPr>
  </w:style>
  <w:style w:styleId="Style_15" w:type="paragraph">
    <w:name w:val="Основной шрифт абзаца1"/>
    <w:link w:val="Style_15_ch"/>
  </w:style>
  <w:style w:styleId="Style_15_ch" w:type="character">
    <w:name w:val="Основной шрифт абзаца1"/>
    <w:link w:val="Style_15"/>
  </w:style>
  <w:style w:styleId="Style_16" w:type="paragraph">
    <w:name w:val="Hyperlink"/>
    <w:link w:val="Style_16_ch"/>
    <w:rPr>
      <w:color w:val="0000FF"/>
      <w:u w:val="single"/>
    </w:rPr>
  </w:style>
  <w:style w:styleId="Style_16_ch" w:type="character">
    <w:name w:val="Hyperlink"/>
    <w:link w:val="Style_16"/>
    <w:rPr>
      <w:color w:val="0000FF"/>
      <w:u w:val="single"/>
    </w:rPr>
  </w:style>
  <w:style w:styleId="Style_17" w:type="paragraph">
    <w:name w:val="Footnote"/>
    <w:link w:val="Style_17_ch"/>
    <w:pPr>
      <w:ind w:firstLine="851" w:left="0"/>
      <w:jc w:val="both"/>
    </w:pPr>
    <w:rPr>
      <w:rFonts w:ascii="XO Thames" w:hAnsi="XO Thames"/>
      <w:sz w:val="22"/>
    </w:rPr>
  </w:style>
  <w:style w:styleId="Style_17_ch" w:type="character">
    <w:name w:val="Footnote"/>
    <w:link w:val="Style_17"/>
    <w:rPr>
      <w:rFonts w:ascii="XO Thames" w:hAnsi="XO Thames"/>
      <w:sz w:val="22"/>
    </w:rPr>
  </w:style>
  <w:style w:styleId="Style_18" w:type="paragraph">
    <w:name w:val="toc 1"/>
    <w:next w:val="Style_3"/>
    <w:link w:val="Style_18_ch"/>
    <w:uiPriority w:val="39"/>
    <w:rPr>
      <w:rFonts w:ascii="XO Thames" w:hAnsi="XO Thames"/>
      <w:b w:val="1"/>
      <w:sz w:val="28"/>
    </w:rPr>
  </w:style>
  <w:style w:styleId="Style_18_ch" w:type="character">
    <w:name w:val="toc 1"/>
    <w:link w:val="Style_18"/>
    <w:rPr>
      <w:rFonts w:ascii="XO Thames" w:hAnsi="XO Thames"/>
      <w:b w:val="1"/>
      <w:sz w:val="28"/>
    </w:rPr>
  </w:style>
  <w:style w:styleId="Style_19" w:type="paragraph">
    <w:name w:val="Header and Footer"/>
    <w:link w:val="Style_19_ch"/>
    <w:pPr>
      <w:ind/>
      <w:jc w:val="both"/>
    </w:pPr>
    <w:rPr>
      <w:rFonts w:ascii="XO Thames" w:hAnsi="XO Thames"/>
    </w:rPr>
  </w:style>
  <w:style w:styleId="Style_19_ch" w:type="character">
    <w:name w:val="Header and Footer"/>
    <w:link w:val="Style_19"/>
    <w:rPr>
      <w:rFonts w:ascii="XO Thames" w:hAnsi="XO Thames"/>
    </w:rPr>
  </w:style>
  <w:style w:styleId="Style_20" w:type="paragraph">
    <w:name w:val="Body Text"/>
    <w:basedOn w:val="Style_3"/>
    <w:link w:val="Style_20_ch"/>
    <w:pPr>
      <w:spacing w:after="0" w:line="240" w:lineRule="auto"/>
      <w:ind w:firstLine="0" w:left="0" w:right="0"/>
      <w:jc w:val="center"/>
    </w:pPr>
    <w:rPr>
      <w:color w:val="000000"/>
    </w:rPr>
  </w:style>
  <w:style w:styleId="Style_20_ch" w:type="character">
    <w:name w:val="Body Text"/>
    <w:basedOn w:val="Style_3_ch"/>
    <w:link w:val="Style_20"/>
    <w:rPr>
      <w:color w:val="000000"/>
    </w:rPr>
  </w:style>
  <w:style w:styleId="Style_21" w:type="paragraph">
    <w:name w:val="toc 9"/>
    <w:next w:val="Style_3"/>
    <w:link w:val="Style_21_ch"/>
    <w:uiPriority w:val="39"/>
    <w:pPr>
      <w:ind w:firstLine="0" w:left="1600"/>
    </w:pPr>
    <w:rPr>
      <w:rFonts w:ascii="XO Thames" w:hAnsi="XO Thames"/>
      <w:sz w:val="28"/>
    </w:rPr>
  </w:style>
  <w:style w:styleId="Style_21_ch" w:type="character">
    <w:name w:val="toc 9"/>
    <w:link w:val="Style_21"/>
    <w:rPr>
      <w:rFonts w:ascii="XO Thames" w:hAnsi="XO Thames"/>
      <w:sz w:val="28"/>
    </w:rPr>
  </w:style>
  <w:style w:styleId="Style_22" w:type="paragraph">
    <w:name w:val="Balloon Text"/>
    <w:basedOn w:val="Style_3"/>
    <w:link w:val="Style_22_ch"/>
    <w:pPr>
      <w:spacing w:after="0" w:line="240" w:lineRule="auto"/>
      <w:ind/>
    </w:pPr>
    <w:rPr>
      <w:rFonts w:ascii="Tahoma" w:hAnsi="Tahoma"/>
      <w:sz w:val="16"/>
    </w:rPr>
  </w:style>
  <w:style w:styleId="Style_22_ch" w:type="character">
    <w:name w:val="Balloon Text"/>
    <w:basedOn w:val="Style_3_ch"/>
    <w:link w:val="Style_22"/>
    <w:rPr>
      <w:rFonts w:ascii="Tahoma" w:hAnsi="Tahoma"/>
      <w:sz w:val="16"/>
    </w:rPr>
  </w:style>
  <w:style w:styleId="Style_23" w:type="paragraph">
    <w:name w:val="Гиперссылка1"/>
    <w:link w:val="Style_23_ch"/>
    <w:rPr>
      <w:color w:val="0000FF"/>
      <w:u w:val="single"/>
    </w:rPr>
  </w:style>
  <w:style w:styleId="Style_23_ch" w:type="character">
    <w:name w:val="Гиперссылка1"/>
    <w:link w:val="Style_23"/>
    <w:rPr>
      <w:color w:val="0000FF"/>
      <w:u w:val="single"/>
    </w:rPr>
  </w:style>
  <w:style w:styleId="Style_24" w:type="paragraph">
    <w:name w:val="toc 8"/>
    <w:next w:val="Style_3"/>
    <w:link w:val="Style_24_ch"/>
    <w:uiPriority w:val="39"/>
    <w:pPr>
      <w:ind w:firstLine="0" w:left="1400"/>
    </w:pPr>
    <w:rPr>
      <w:rFonts w:ascii="XO Thames" w:hAnsi="XO Thames"/>
      <w:sz w:val="28"/>
    </w:rPr>
  </w:style>
  <w:style w:styleId="Style_24_ch" w:type="character">
    <w:name w:val="toc 8"/>
    <w:link w:val="Style_24"/>
    <w:rPr>
      <w:rFonts w:ascii="XO Thames" w:hAnsi="XO Thames"/>
      <w:sz w:val="28"/>
    </w:rPr>
  </w:style>
  <w:style w:styleId="Style_25" w:type="paragraph">
    <w:name w:val="toc 5"/>
    <w:next w:val="Style_3"/>
    <w:link w:val="Style_25_ch"/>
    <w:uiPriority w:val="39"/>
    <w:pPr>
      <w:ind w:firstLine="0" w:left="800"/>
    </w:pPr>
    <w:rPr>
      <w:rFonts w:ascii="XO Thames" w:hAnsi="XO Thames"/>
      <w:sz w:val="28"/>
    </w:rPr>
  </w:style>
  <w:style w:styleId="Style_25_ch" w:type="character">
    <w:name w:val="toc 5"/>
    <w:link w:val="Style_25"/>
    <w:rPr>
      <w:rFonts w:ascii="XO Thames" w:hAnsi="XO Thames"/>
      <w:sz w:val="28"/>
    </w:rPr>
  </w:style>
  <w:style w:styleId="Style_26" w:type="paragraph">
    <w:name w:val="Обычный1"/>
    <w:link w:val="Style_26_ch"/>
    <w:rPr>
      <w:rFonts w:ascii="Times New Roman" w:hAnsi="Times New Roman"/>
      <w:color w:val="000000"/>
      <w:sz w:val="28"/>
    </w:rPr>
  </w:style>
  <w:style w:styleId="Style_26_ch" w:type="character">
    <w:name w:val="Обычный1"/>
    <w:link w:val="Style_26"/>
    <w:rPr>
      <w:rFonts w:ascii="Times New Roman" w:hAnsi="Times New Roman"/>
      <w:color w:val="000000"/>
      <w:sz w:val="28"/>
    </w:rPr>
  </w:style>
  <w:style w:styleId="Style_27" w:type="paragraph">
    <w:name w:val="Subtitle"/>
    <w:next w:val="Style_3"/>
    <w:link w:val="Style_27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7_ch" w:type="character">
    <w:name w:val="Subtitle"/>
    <w:link w:val="Style_27"/>
    <w:rPr>
      <w:rFonts w:ascii="XO Thames" w:hAnsi="XO Thames"/>
      <w:i w:val="1"/>
      <w:sz w:val="24"/>
    </w:rPr>
  </w:style>
  <w:style w:styleId="Style_28" w:type="paragraph">
    <w:name w:val="Title"/>
    <w:next w:val="Style_3"/>
    <w:link w:val="Style_28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8_ch" w:type="character">
    <w:name w:val="Title"/>
    <w:link w:val="Style_28"/>
    <w:rPr>
      <w:rFonts w:ascii="XO Thames" w:hAnsi="XO Thames"/>
      <w:b w:val="1"/>
      <w:caps w:val="1"/>
      <w:sz w:val="40"/>
    </w:rPr>
  </w:style>
  <w:style w:styleId="Style_29" w:type="paragraph">
    <w:name w:val="heading 4"/>
    <w:next w:val="Style_3"/>
    <w:link w:val="Style_29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9_ch" w:type="character">
    <w:name w:val="heading 4"/>
    <w:link w:val="Style_29"/>
    <w:rPr>
      <w:rFonts w:ascii="XO Thames" w:hAnsi="XO Thames"/>
      <w:b w:val="1"/>
      <w:sz w:val="24"/>
    </w:rPr>
  </w:style>
  <w:style w:styleId="Style_30" w:type="paragraph">
    <w:name w:val="heading 2"/>
    <w:next w:val="Style_3"/>
    <w:link w:val="Style_30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30_ch" w:type="character">
    <w:name w:val="heading 2"/>
    <w:link w:val="Style_30"/>
    <w:rPr>
      <w:rFonts w:ascii="XO Thames" w:hAnsi="XO Thames"/>
      <w:b w:val="1"/>
      <w:sz w:val="28"/>
    </w:rPr>
  </w:style>
  <w:style w:styleId="Style_31" w:type="paragraph">
    <w:name w:val="footer"/>
    <w:basedOn w:val="Style_3"/>
    <w:link w:val="Style_31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31_ch" w:type="character">
    <w:name w:val="footer"/>
    <w:basedOn w:val="Style_3_ch"/>
    <w:link w:val="Style_31"/>
  </w:style>
  <w:style w:styleId="Style_32" w:type="table">
    <w:name w:val="TableGrid"/>
    <w:rPr>
      <w:sz w:val="22"/>
    </w:rPr>
    <w:tblPr>
      <w:tblCellMar>
        <w:top w:type="dxa" w:w="0"/>
        <w:left w:type="dxa" w:w="0"/>
        <w:bottom w:type="dxa" w:w="0"/>
        <w:right w:type="dxa" w:w="0"/>
      </w:tblCellMar>
    </w:tblPr>
  </w:style>
  <w:style w:default="1" w:styleId="Style_1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12" Target="numbering.xml" Type="http://schemas.openxmlformats.org/officeDocument/2006/relationships/numbering"/>
  <Relationship Id="rId11" Target="theme/theme1.xml" Type="http://schemas.openxmlformats.org/officeDocument/2006/relationships/theme"/>
  <Relationship Id="rId10" Target="webSettings.xml" Type="http://schemas.openxmlformats.org/officeDocument/2006/relationships/webSettings"/>
  <Relationship Id="rId9" Target="stylesWithEffects.xml" Type="http://schemas.microsoft.com/office/2007/relationships/stylesWithEffects"/>
  <Relationship Id="rId7" Target="settings.xml" Type="http://schemas.openxmlformats.org/officeDocument/2006/relationships/settings"/>
  <Relationship Id="rId6" Target="fontTable.xml" Type="http://schemas.openxmlformats.org/officeDocument/2006/relationships/fontTable"/>
  <Relationship Id="rId5" Target="media/2.jpeg" Type="http://schemas.openxmlformats.org/officeDocument/2006/relationships/image"/>
  <Relationship Id="rId4" Target="media/1.jpeg" Type="http://schemas.openxmlformats.org/officeDocument/2006/relationships/image"/>
  <Relationship Id="rId8" Target="styles.xml" Type="http://schemas.openxmlformats.org/officeDocument/2006/relationships/styles"/>
  <Relationship Id="rId2" Target="footer2.xml" Type="http://schemas.openxmlformats.org/officeDocument/2006/relationships/footer"/>
  <Relationship Id="rId3" Target="header3.xml" Type="http://schemas.openxmlformats.org/officeDocument/2006/relationships/header"/>
  <Relationship Id="rId1" Target="header1.xml" Type="http://schemas.openxmlformats.org/officeDocument/2006/relationships/header"/>
</Relationships>

</file>

<file path=word/_rels/numbering.xml.rels><?xml version="1.0" encoding="UTF-8" standalone="no" ?>
<Relationships xmlns="http://schemas.openxmlformats.org/package/2006/relationships">
  <Relationship Id="rId1" Target="media/3.jpeg" Type="http://schemas.openxmlformats.org/officeDocument/2006/relationships/imag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MyOffice-CoreFramework-Windows/25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2023-02-27T14:44:55Z</dcterms:modified>
</cp:coreProperties>
</file>