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094" w:rsidRDefault="00554020">
      <w:pPr>
        <w:jc w:val="center"/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:rsidR="00DE5094" w:rsidRDefault="00554020">
      <w:pPr>
        <w:jc w:val="center"/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к прогнозу социально-экономического развития муниципального образования «Город Донецк» на 2021-2024 г. г. </w:t>
      </w:r>
    </w:p>
    <w:p w:rsidR="00DE5094" w:rsidRDefault="00DE509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E5094" w:rsidRDefault="00554020">
      <w:pPr>
        <w:jc w:val="center"/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Раздел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VII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   Потребительский рынок</w:t>
      </w:r>
    </w:p>
    <w:p w:rsidR="00DE5094" w:rsidRDefault="00DE5094">
      <w:pPr>
        <w:jc w:val="center"/>
        <w:rPr>
          <w:rFonts w:ascii="Times New Roman" w:hAnsi="Times New Roman" w:cs="Times New Roman"/>
          <w:b/>
          <w:bCs/>
          <w:color w:val="CE181E"/>
          <w:sz w:val="28"/>
          <w:szCs w:val="28"/>
          <w:lang w:eastAsia="ru-RU"/>
        </w:rPr>
      </w:pPr>
    </w:p>
    <w:p w:rsidR="00DE5094" w:rsidRDefault="00554020">
      <w:pPr>
        <w:pStyle w:val="a4"/>
        <w:jc w:val="both"/>
      </w:pPr>
      <w:r>
        <w:rPr>
          <w:color w:val="CE181E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>Прогноз развития потребительского рынка на 2022-2024 года сформирован на основе анализа отчетных данных за 2019-2020 гг.,  1 квартал 2021 года, динамики показателей развития потребительского рынка в сравнении с предыдущими периодами.</w:t>
      </w:r>
    </w:p>
    <w:p w:rsidR="00DE5094" w:rsidRDefault="00554020">
      <w:pPr>
        <w:pStyle w:val="a4"/>
        <w:ind w:firstLine="708"/>
        <w:jc w:val="both"/>
      </w:pPr>
      <w:r>
        <w:rPr>
          <w:rFonts w:ascii="Times New Roman" w:hAnsi="Times New Roman"/>
          <w:color w:val="000000" w:themeColor="text1"/>
          <w:sz w:val="28"/>
          <w:szCs w:val="28"/>
        </w:rPr>
        <w:t>На территории муниципального образования «Город Донецк» по состоянию на 01.01.2021 года осуществляют деятельность 344 магазина стационарной торговой сети и 27 торговых точек – мелкорозничной, 43 предприятия общественного питания – открытой сети и 1 торгово-ярмарочн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ый комплекс.</w:t>
      </w:r>
    </w:p>
    <w:p w:rsidR="00DE5094" w:rsidRDefault="00554020">
      <w:pPr>
        <w:pStyle w:val="a4"/>
        <w:ind w:firstLine="708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Розничная торговля является одной из самых привлекательных отраслей экономики в городе.  На территории города осуществляют свою деятельность сетевые магазины: ЗАО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Тандер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» - 12 магазинов, ЗАО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Тандер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» «Семейный гипермаркет Магнит» - 2 магазина, ЗАО «Перекресток» - 3 магазина, ООО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Агроторг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» - 5 магазинов, ООО «Великолукский» - 4 магазина, ООО «Каменск-Торг»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Ермолинские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полуфабрикаты» - 1 магазин, «</w:t>
      </w:r>
      <w:proofErr w:type="gramStart"/>
      <w:r w:rsidRPr="00554020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Красное</w:t>
      </w:r>
      <w:proofErr w:type="gramEnd"/>
      <w:r w:rsidRPr="00554020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&amp;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Б</w:t>
      </w:r>
      <w:r w:rsidRPr="00554020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елое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» - 4 магазина. Крупные и сетевые магазины в настоящее время находятся в более устойчивом и стабильном положении.</w:t>
      </w:r>
    </w:p>
    <w:p w:rsidR="00DE5094" w:rsidRDefault="00554020">
      <w:pPr>
        <w:pStyle w:val="a4"/>
        <w:ind w:firstLine="708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Оборот розничной торговли в 2020 году по всем каналам реализации составил 5 120,0 млн. рублей, что ниже уровня 2019 года (22,7 млн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.р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ублей) на  3,7 %. С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нижение оборота розничной торговли (во всех каналах реализации) и оборота общественного питания в 2021 году связанно с закрытием объектов торговли непродовольственными товарами не входящими в перечень товаров первой необходимости и закрытием объектов предоставляющих услуги общественного питания населению в связи с распространением новой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инфекцией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CoVID</w:t>
      </w:r>
      <w:proofErr w:type="spellEnd"/>
      <w:r w:rsidRPr="0055402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-19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E5094" w:rsidRDefault="00554020">
      <w:pPr>
        <w:ind w:firstLine="708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На основе анализа  динамики показателей развития потребительского рынка и сравнения с предыдущим периодом, оценка оборота розничной торговли темпа роста- 105,1% в 2021 году составит 5 682,5 млн.</w:t>
      </w:r>
      <w:r w:rsidR="00575528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рублей. Прогнозируемый оборот розничной торговли  в 2022 году составит 6 063,6 млн.</w:t>
      </w:r>
      <w:r w:rsidR="00575528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рублей, с темпом роста по отношению к 2021 году 102,9 %. В 2023-2024 годах темп роста розничной торговли составит 102,8 % и  102,8 % соответственно.</w:t>
      </w:r>
    </w:p>
    <w:p w:rsidR="00DE5094" w:rsidRDefault="00554020">
      <w:pPr>
        <w:ind w:firstLine="708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счет собственных средств субъектов малого предпринимательства на потребительском рынке ведется строительство и реконструкция объектов торговли. За 2020 год открыто 23 объекта торговли стационарной торговой сети: </w:t>
      </w:r>
    </w:p>
    <w:p w:rsidR="00DE5094" w:rsidRDefault="00DE5094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E5094" w:rsidRDefault="00554020">
      <w:pPr>
        <w:ind w:firstLine="708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 2020 году открылись следующие магазины: магазин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Cherry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шоурум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», магазин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PODIUM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», магазин «Бочка», магазин «Золотой колос», магазин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Магнит-косметик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», магазин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Мобилка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», магазин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Пивмаркет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», магазин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Пивмаркет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», магазин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Пивторг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магазин «Пинта», магазин «Фермерская лавка», магазин «Хмели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Сунели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», магазин «Сладкоежка», магазин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Miracle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of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fragrance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», магазин «Мебель», салон связи «Теле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», магазин «Народный», магазин «Фишка», Магазин «Оптика Виктория», магазин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Автомагазин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магазин «Карамелька», магазин «МТС», магазин «Мясной король». </w:t>
      </w:r>
    </w:p>
    <w:p w:rsidR="00DE5094" w:rsidRDefault="00554020">
      <w:pPr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состоянию на 01.01.2021 на территории муниципального образования «Город Донецк» услуги общественного питания предоставляют 35 предприятий открытой сети на 1177 посадочных места. </w:t>
      </w:r>
    </w:p>
    <w:p w:rsidR="00DE5094" w:rsidRDefault="00554020">
      <w:pPr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Студенческая и школьная сеть общественного питания состоит из 17 объектов на 1597 посадочных мест. Организацией питания в учреждениях профессионального образования занимаются учебные заведения. Ежедневно услугами общественного питания в среднем пользуются до 40 %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5094" w:rsidRDefault="00554020">
      <w:pPr>
        <w:ind w:firstLine="708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Оборот общественного питания в 2020 году составил 116,4 млн.</w:t>
      </w:r>
      <w:r w:rsidR="0057552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рублей, что ниже уровня 2019 года  на </w:t>
      </w:r>
      <w:r w:rsidRPr="00575528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20,</w:t>
      </w:r>
      <w:r w:rsidR="00575528" w:rsidRPr="00575528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%.</w:t>
      </w:r>
    </w:p>
    <w:p w:rsidR="00DE5094" w:rsidRDefault="00554020">
      <w:pPr>
        <w:jc w:val="both"/>
      </w:pPr>
      <w:r>
        <w:rPr>
          <w:rFonts w:ascii="Times New Roman" w:hAnsi="Times New Roman" w:cs="Times New Roman"/>
          <w:color w:val="CE181E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Анализируя динамику показателей развития оборота общественного питания, оценка оборота общественного питания в 2021 году составит 127,9 млн. рублей. Прогнозируемый рост оборота общественного питания в 2022 году составит 137,4  млн. рублей, что на 103,5% выше оценки 2021 года. </w:t>
      </w:r>
    </w:p>
    <w:p w:rsidR="00DE5094" w:rsidRDefault="00554020">
      <w:pPr>
        <w:ind w:firstLine="708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2023-2024 годах темп роста оборота общественного питания составит 103,5 %. В 2024 г. объем оборота общественного питания составит 159,2 млн.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темп роста к 2021 г. – 124,5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%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E5094" w:rsidRDefault="00DE5094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5094" w:rsidRDefault="00DE5094">
      <w:pPr>
        <w:jc w:val="both"/>
        <w:rPr>
          <w:rFonts w:ascii="Times New Roman" w:hAnsi="Times New Roman" w:cs="Times New Roman"/>
          <w:bCs/>
          <w:color w:val="FF950E"/>
          <w:sz w:val="28"/>
          <w:szCs w:val="28"/>
          <w:highlight w:val="red"/>
        </w:rPr>
      </w:pPr>
    </w:p>
    <w:p w:rsidR="00DE5094" w:rsidRDefault="00DE5094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E5094" w:rsidRDefault="00DE5094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E5094" w:rsidRDefault="00DE5094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E5094" w:rsidRDefault="00DE5094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9315" w:type="dxa"/>
        <w:tblInd w:w="36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50"/>
        <w:gridCol w:w="4665"/>
      </w:tblGrid>
      <w:tr w:rsidR="00DE5094">
        <w:tc>
          <w:tcPr>
            <w:tcW w:w="4650" w:type="dxa"/>
            <w:shd w:val="clear" w:color="auto" w:fill="auto"/>
          </w:tcPr>
          <w:p w:rsidR="00DE5094" w:rsidRDefault="00554020" w:rsidP="00554020">
            <w:pPr>
              <w:shd w:val="clear" w:color="auto" w:fill="FFFFFF"/>
              <w:tabs>
                <w:tab w:val="left" w:pos="1134"/>
              </w:tabs>
              <w:suppressAutoHyphens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Первый заместитель главы Администрации города Донецка </w:t>
            </w:r>
          </w:p>
        </w:tc>
        <w:tc>
          <w:tcPr>
            <w:tcW w:w="4664" w:type="dxa"/>
            <w:shd w:val="clear" w:color="auto" w:fill="auto"/>
          </w:tcPr>
          <w:p w:rsidR="00DE5094" w:rsidRDefault="00554020">
            <w:pPr>
              <w:pStyle w:val="Heading1"/>
              <w:suppressAutoHyphens/>
              <w:spacing w:before="0" w:after="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 xml:space="preserve">А.А. Чернодуб </w:t>
            </w:r>
          </w:p>
          <w:p w:rsidR="00DE5094" w:rsidRDefault="00DE5094">
            <w:pPr>
              <w:suppressAutoHyphens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E5094" w:rsidRDefault="00DE5094">
      <w:pPr>
        <w:rPr>
          <w:rFonts w:ascii="Times New Roman" w:hAnsi="Times New Roman" w:cs="Times New Roman"/>
          <w:sz w:val="16"/>
          <w:szCs w:val="16"/>
        </w:rPr>
      </w:pPr>
    </w:p>
    <w:p w:rsidR="00DE5094" w:rsidRDefault="00DE5094">
      <w:pPr>
        <w:rPr>
          <w:rFonts w:ascii="Times New Roman" w:hAnsi="Times New Roman" w:cs="Times New Roman"/>
          <w:sz w:val="16"/>
          <w:szCs w:val="16"/>
        </w:rPr>
      </w:pPr>
    </w:p>
    <w:p w:rsidR="00DE5094" w:rsidRDefault="00DE5094">
      <w:pPr>
        <w:rPr>
          <w:rFonts w:ascii="Times New Roman" w:hAnsi="Times New Roman" w:cs="Times New Roman"/>
          <w:sz w:val="16"/>
          <w:szCs w:val="16"/>
        </w:rPr>
      </w:pPr>
    </w:p>
    <w:p w:rsidR="00DE5094" w:rsidRDefault="00DE5094">
      <w:pPr>
        <w:rPr>
          <w:rFonts w:ascii="Times New Roman" w:hAnsi="Times New Roman" w:cs="Times New Roman"/>
          <w:sz w:val="16"/>
          <w:szCs w:val="16"/>
        </w:rPr>
      </w:pPr>
    </w:p>
    <w:p w:rsidR="00DE5094" w:rsidRDefault="00DE5094">
      <w:pPr>
        <w:rPr>
          <w:rFonts w:ascii="Times New Roman" w:hAnsi="Times New Roman" w:cs="Times New Roman"/>
          <w:sz w:val="16"/>
          <w:szCs w:val="16"/>
        </w:rPr>
      </w:pPr>
    </w:p>
    <w:p w:rsidR="00DE5094" w:rsidRDefault="00DE5094">
      <w:pPr>
        <w:rPr>
          <w:rFonts w:ascii="Times New Roman" w:hAnsi="Times New Roman" w:cs="Times New Roman"/>
          <w:sz w:val="16"/>
          <w:szCs w:val="16"/>
        </w:rPr>
      </w:pPr>
    </w:p>
    <w:p w:rsidR="00DE5094" w:rsidRDefault="00DE5094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DE5094" w:rsidRDefault="00DE5094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DE5094" w:rsidRDefault="00DE5094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DE5094" w:rsidRDefault="00DE5094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DE5094" w:rsidRDefault="00DE5094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DE5094" w:rsidRDefault="00DE5094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DE5094" w:rsidRDefault="00DE5094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DE5094" w:rsidRDefault="00DE5094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DE5094" w:rsidRDefault="00554020">
      <w:r>
        <w:rPr>
          <w:rFonts w:ascii="Times New Roman" w:hAnsi="Times New Roman" w:cs="Times New Roman"/>
          <w:color w:val="000000"/>
          <w:sz w:val="16"/>
          <w:szCs w:val="16"/>
        </w:rPr>
        <w:t xml:space="preserve">Филатова Кристина Дмитриевна </w:t>
      </w:r>
    </w:p>
    <w:p w:rsidR="00DE5094" w:rsidRDefault="00554020">
      <w:r>
        <w:rPr>
          <w:rFonts w:ascii="Times New Roman" w:hAnsi="Times New Roman" w:cs="Times New Roman"/>
          <w:color w:val="000000"/>
          <w:sz w:val="16"/>
          <w:szCs w:val="16"/>
        </w:rPr>
        <w:t>8-(86368)- 2-25-00</w:t>
      </w:r>
    </w:p>
    <w:sectPr w:rsidR="00DE5094" w:rsidSect="00DE5094">
      <w:pgSz w:w="11906" w:h="16838"/>
      <w:pgMar w:top="435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DE5094"/>
    <w:rsid w:val="00163596"/>
    <w:rsid w:val="00554020"/>
    <w:rsid w:val="00575528"/>
    <w:rsid w:val="00852B9F"/>
    <w:rsid w:val="00C43EEE"/>
    <w:rsid w:val="00DE5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09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3"/>
    <w:next w:val="a4"/>
    <w:qFormat/>
    <w:rsid w:val="00DE5094"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a3">
    <w:name w:val="Заголовок"/>
    <w:basedOn w:val="a"/>
    <w:next w:val="a4"/>
    <w:qFormat/>
    <w:rsid w:val="00DE509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DE5094"/>
    <w:pPr>
      <w:spacing w:after="140" w:line="276" w:lineRule="auto"/>
    </w:pPr>
  </w:style>
  <w:style w:type="paragraph" w:styleId="a5">
    <w:name w:val="List"/>
    <w:basedOn w:val="a4"/>
    <w:rsid w:val="00DE5094"/>
  </w:style>
  <w:style w:type="paragraph" w:customStyle="1" w:styleId="Caption">
    <w:name w:val="Caption"/>
    <w:basedOn w:val="a"/>
    <w:qFormat/>
    <w:rsid w:val="00DE5094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DE509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611</Words>
  <Characters>3483</Characters>
  <Application>Microsoft Office Word</Application>
  <DocSecurity>0</DocSecurity>
  <Lines>29</Lines>
  <Paragraphs>8</Paragraphs>
  <ScaleCrop>false</ScaleCrop>
  <Company>Администрация города Донецка</Company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Kab-22-1</cp:lastModifiedBy>
  <cp:revision>11</cp:revision>
  <cp:lastPrinted>2021-05-31T14:56:00Z</cp:lastPrinted>
  <dcterms:created xsi:type="dcterms:W3CDTF">2021-05-19T17:03:00Z</dcterms:created>
  <dcterms:modified xsi:type="dcterms:W3CDTF">2021-06-02T12:21:00Z</dcterms:modified>
  <dc:language>ru-RU</dc:language>
</cp:coreProperties>
</file>