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ind w:firstLine="0" w:left="-282" w:right="0"/>
      </w:pPr>
    </w:p>
    <w:p w14:paraId="07000000">
      <w:r>
        <w:rPr>
          <w:sz w:val="28"/>
        </w:rPr>
        <w:t xml:space="preserve">                                                                                                                          </w:t>
      </w:r>
      <w:r>
        <w:rPr>
          <w:sz w:val="28"/>
        </w:rPr>
        <w:t>Утвержден</w:t>
      </w:r>
    </w:p>
    <w:p w14:paraId="08000000">
      <w:pPr>
        <w:ind/>
        <w:jc w:val="right"/>
      </w:pPr>
      <w:r>
        <w:rPr>
          <w:sz w:val="28"/>
        </w:rPr>
        <w:t xml:space="preserve">протоколом заседания Совета по развитию </w:t>
      </w:r>
    </w:p>
    <w:p w14:paraId="09000000">
      <w:pPr>
        <w:ind/>
        <w:jc w:val="right"/>
      </w:pPr>
      <w:r>
        <w:rPr>
          <w:sz w:val="28"/>
        </w:rPr>
        <w:t>конкуренции при главе Администрации города Донецка</w:t>
      </w:r>
    </w:p>
    <w:p w14:paraId="0A000000">
      <w:pPr>
        <w:ind/>
        <w:jc w:val="right"/>
        <w:rPr>
          <w:sz w:val="28"/>
        </w:rPr>
      </w:pPr>
    </w:p>
    <w:p w14:paraId="0B000000">
      <w:pPr>
        <w:ind/>
        <w:jc w:val="right"/>
        <w:rPr>
          <w:sz w:val="28"/>
        </w:rPr>
      </w:pPr>
    </w:p>
    <w:p w14:paraId="0C000000">
      <w:pPr>
        <w:ind/>
        <w:jc w:val="left"/>
      </w:pPr>
      <w:r>
        <w:rPr>
          <w:sz w:val="28"/>
        </w:rPr>
        <w:t xml:space="preserve">                                                                                                  </w:t>
      </w:r>
      <w:r>
        <w:rPr>
          <w:sz w:val="28"/>
        </w:rPr>
        <w:t xml:space="preserve">«22» января 2024 года </w:t>
      </w:r>
    </w:p>
    <w:p w14:paraId="0D000000">
      <w:pPr>
        <w:ind/>
        <w:jc w:val="center"/>
      </w:pPr>
    </w:p>
    <w:p w14:paraId="0E000000">
      <w:pPr>
        <w:ind/>
        <w:jc w:val="center"/>
      </w:pPr>
    </w:p>
    <w:p w14:paraId="0F000000">
      <w:pPr>
        <w:ind/>
        <w:jc w:val="center"/>
      </w:pPr>
    </w:p>
    <w:p w14:paraId="10000000">
      <w:pPr>
        <w:ind/>
        <w:jc w:val="center"/>
      </w:pPr>
    </w:p>
    <w:p w14:paraId="11000000">
      <w:pPr>
        <w:ind/>
        <w:jc w:val="center"/>
        <w:rPr>
          <w:b w:val="1"/>
        </w:rPr>
      </w:pPr>
    </w:p>
    <w:p w14:paraId="12000000">
      <w:pPr>
        <w:ind/>
        <w:jc w:val="center"/>
        <w:rPr>
          <w:b w:val="1"/>
        </w:rPr>
      </w:pPr>
      <w:r>
        <w:rPr>
          <w:rStyle w:val="Style_3_ch"/>
          <w:b w:val="1"/>
          <w:sz w:val="28"/>
        </w:rPr>
        <w:t xml:space="preserve">ДОКЛАД </w:t>
      </w:r>
    </w:p>
    <w:p w14:paraId="13000000">
      <w:pPr>
        <w:ind/>
        <w:jc w:val="center"/>
        <w:rPr>
          <w:b w:val="1"/>
        </w:rPr>
      </w:pPr>
      <w:r>
        <w:rPr>
          <w:rStyle w:val="Style_3_ch"/>
          <w:b w:val="1"/>
          <w:sz w:val="28"/>
        </w:rPr>
        <w:t>Администрации города Донецка об антимонопольном копмлаенсе за 2023 год</w:t>
      </w:r>
    </w:p>
    <w:p w14:paraId="14000000">
      <w:pPr>
        <w:ind/>
        <w:jc w:val="left"/>
        <w:rPr>
          <w:b w:val="1"/>
          <w:sz w:val="28"/>
        </w:rPr>
      </w:pPr>
    </w:p>
    <w:p w14:paraId="15000000">
      <w:pPr>
        <w:ind w:firstLine="720" w:left="0" w:right="0"/>
        <w:jc w:val="both"/>
        <w:rPr>
          <w:b w:val="1"/>
          <w:sz w:val="28"/>
        </w:rPr>
      </w:pPr>
    </w:p>
    <w:p w14:paraId="16000000">
      <w:pPr>
        <w:ind w:firstLine="720" w:left="0" w:right="0"/>
        <w:jc w:val="both"/>
      </w:pPr>
      <w:r>
        <w:rPr>
          <w:sz w:val="28"/>
        </w:rPr>
        <w:t xml:space="preserve">1. </w:t>
      </w:r>
      <w:r>
        <w:rPr>
          <w:rStyle w:val="Style_4_ch"/>
          <w:i w:val="0"/>
          <w:color w:val="000000"/>
          <w:sz w:val="28"/>
          <w:highlight w:val="white"/>
        </w:rPr>
        <w:t>В целях реализации Указа Президента Российской Федерации от 21.12.2017  № 618 «Об основных направлениях государственной политики по развитию конкуренции», распоряжения Правительства Российской Федерации от 18.10.2018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 Администрацией города Донецка утверждено постановление от 27.07.2020  № 700 «Об организации системы внутреннего обеспечения соответствия требованиям антимонопольного законодательства (антимонопольного комплаенса) в Администрации города Донецка».</w:t>
      </w:r>
    </w:p>
    <w:p w14:paraId="17000000">
      <w:pPr>
        <w:pStyle w:val="Style_5"/>
        <w:widowControl w:val="0"/>
        <w:ind w:firstLine="567" w:left="0" w:right="0"/>
        <w:jc w:val="both"/>
      </w:pPr>
      <w:r>
        <w:rPr>
          <w:rStyle w:val="Style_3_ch"/>
          <w:i w:val="0"/>
          <w:color w:val="000000"/>
          <w:sz w:val="28"/>
          <w:highlight w:val="white"/>
        </w:rPr>
        <w:t xml:space="preserve">В рамках указанного постановления утвержден Порядок организации системы внутреннего обеспечения соответствия требованиям </w:t>
      </w:r>
      <w:r>
        <w:rPr>
          <w:rStyle w:val="Style_4_ch"/>
          <w:i w:val="0"/>
          <w:color w:val="000000"/>
          <w:sz w:val="28"/>
          <w:highlight w:val="white"/>
        </w:rPr>
        <w:t>антимонопольного законодательства (антимонопольного комплаенса) (далее — Порядок).</w:t>
      </w:r>
    </w:p>
    <w:p w14:paraId="18000000">
      <w:pPr>
        <w:widowControl w:val="0"/>
        <w:ind w:firstLine="510" w:left="0" w:right="0"/>
        <w:jc w:val="both"/>
      </w:pPr>
      <w:r>
        <w:rPr>
          <w:rStyle w:val="Style_4_ch"/>
          <w:i w:val="0"/>
          <w:color w:val="000000"/>
          <w:sz w:val="28"/>
          <w:highlight w:val="white"/>
        </w:rPr>
        <w:t>Согласно вышеуказанному правовому акту оценку эффективности организации и функционирования в Администрации города Донецка антимонопольного комплаенса осуществляет Совет по развитию конкуренции при главе Администрации города Донецка (далее - коллегиальный орган).</w:t>
      </w:r>
    </w:p>
    <w:p w14:paraId="19000000">
      <w:pPr>
        <w:widowControl w:val="0"/>
        <w:ind w:firstLine="510" w:left="0" w:right="0"/>
        <w:jc w:val="both"/>
      </w:pPr>
      <w:r>
        <w:rPr>
          <w:rStyle w:val="Style_4_ch"/>
          <w:i w:val="0"/>
          <w:color w:val="000000"/>
          <w:sz w:val="28"/>
          <w:highlight w:val="white"/>
        </w:rPr>
        <w:t>К функциям коллегиального органа является рассмотрение и оценка мероприятий Администрации города Донецка в части, касающейся функционирования антимонопольного комплаенса.</w:t>
      </w:r>
    </w:p>
    <w:p w14:paraId="1A000000">
      <w:pPr>
        <w:ind w:firstLine="567" w:left="0" w:right="0"/>
        <w:jc w:val="both"/>
      </w:pPr>
      <w:r>
        <w:rPr>
          <w:rStyle w:val="Style_4_ch"/>
          <w:i w:val="0"/>
          <w:color w:val="000000"/>
          <w:sz w:val="28"/>
        </w:rPr>
        <w:t>Общий контроль за организацией и функционированием в Администрации города Донецка антимонопольного комплаенса осуществляет глава Администрации города Донецка в соответствии с настоящим Порядком.</w:t>
      </w:r>
    </w:p>
    <w:p w14:paraId="1B000000">
      <w:pPr>
        <w:widowControl w:val="0"/>
        <w:ind w:firstLine="567" w:left="0" w:right="0"/>
        <w:jc w:val="both"/>
      </w:pPr>
      <w:r>
        <w:rPr>
          <w:b w:val="0"/>
          <w:sz w:val="28"/>
        </w:rPr>
        <w:t xml:space="preserve">Деятельность, связанная с риском нарушения антимонопольного законодательства, относится к полномочиям </w:t>
      </w:r>
      <w:r>
        <w:rPr>
          <w:sz w:val="28"/>
        </w:rPr>
        <w:t>Уполномоченного подразделения в Администрации города Донецка, которым является отдел экономики и торговли Администрации города Донецка   (далее – Уполномоченное подразделение).</w:t>
      </w:r>
    </w:p>
    <w:p w14:paraId="1C000000">
      <w:pPr>
        <w:ind w:firstLine="567" w:left="0" w:right="0"/>
        <w:jc w:val="both"/>
      </w:pPr>
      <w:r>
        <w:rPr>
          <w:sz w:val="28"/>
        </w:rPr>
        <w:t xml:space="preserve">В целях обеспечения открытости и доступа к информации на официальном сайте Администрации города Донецка в сети «Интернет»  в разделе «Деятельность» создана вкладка «Развитие конкуренции в муниципальном образовании «Город Донецк» </w:t>
      </w:r>
      <w:r>
        <w:rPr>
          <w:rFonts w:ascii="Times New Roman" w:hAnsi="Times New Roman"/>
          <w:color w:val="000000"/>
          <w:sz w:val="28"/>
        </w:rPr>
        <w:t>(</w:t>
      </w:r>
      <w:r>
        <w:rPr>
          <w:rStyle w:val="Style_6_ch"/>
          <w:rFonts w:ascii="Times New Roman" w:hAnsi="Times New Roman"/>
          <w:b w:val="0"/>
          <w:i w:val="0"/>
          <w:caps w:val="0"/>
          <w:smallCaps w:val="0"/>
          <w:strike w:val="0"/>
          <w:color w:val="000000"/>
          <w:spacing w:val="0"/>
          <w:sz w:val="28"/>
          <w:u w:val="none"/>
        </w:rPr>
        <w:fldChar w:fldCharType="begin"/>
      </w:r>
      <w:r>
        <w:rPr>
          <w:rStyle w:val="Style_6_ch"/>
          <w:rFonts w:ascii="Times New Roman" w:hAnsi="Times New Roman"/>
          <w:b w:val="0"/>
          <w:i w:val="0"/>
          <w:caps w:val="0"/>
          <w:smallCaps w:val="0"/>
          <w:strike w:val="0"/>
          <w:color w:val="000000"/>
          <w:spacing w:val="0"/>
          <w:sz w:val="28"/>
          <w:u w:val="none"/>
        </w:rPr>
        <w:instrText>HYPERLINK "https://donetsk-ro.donland.ru/documents/55302/"</w:instrText>
      </w:r>
      <w:r>
        <w:rPr>
          <w:rStyle w:val="Style_6_ch"/>
          <w:rFonts w:ascii="Times New Roman" w:hAnsi="Times New Roman"/>
          <w:b w:val="0"/>
          <w:i w:val="0"/>
          <w:caps w:val="0"/>
          <w:smallCaps w:val="0"/>
          <w:strike w:val="0"/>
          <w:color w:val="000000"/>
          <w:spacing w:val="0"/>
          <w:sz w:val="28"/>
          <w:u w:val="none"/>
        </w:rPr>
        <w:fldChar w:fldCharType="separate"/>
      </w:r>
      <w:r>
        <w:rPr>
          <w:rStyle w:val="Style_6_ch"/>
          <w:rFonts w:ascii="Times New Roman" w:hAnsi="Times New Roman"/>
          <w:b w:val="0"/>
          <w:i w:val="0"/>
          <w:caps w:val="0"/>
          <w:smallCaps w:val="0"/>
          <w:strike w:val="0"/>
          <w:color w:val="000000"/>
          <w:spacing w:val="0"/>
          <w:sz w:val="28"/>
          <w:u w:val="none"/>
        </w:rPr>
        <w:t>Об организации системы внутреннего обеспечения соответствия требованиям антимонопольного законодательства (антимонопольного комплаенса) в Администрации города Донецка</w:t>
      </w:r>
      <w:r>
        <w:rPr>
          <w:rStyle w:val="Style_6_ch"/>
          <w:rFonts w:ascii="Times New Roman" w:hAnsi="Times New Roman"/>
          <w:b w:val="0"/>
          <w:i w:val="0"/>
          <w:caps w:val="0"/>
          <w:smallCaps w:val="0"/>
          <w:strike w:val="0"/>
          <w:color w:val="000000"/>
          <w:spacing w:val="0"/>
          <w:sz w:val="28"/>
          <w:u w:val="none"/>
        </w:rPr>
        <w:fldChar w:fldCharType="end"/>
      </w:r>
      <w:r>
        <w:rPr>
          <w:rFonts w:ascii="Times New Roman" w:hAnsi="Times New Roman"/>
          <w:b w:val="0"/>
          <w:i w:val="0"/>
          <w:caps w:val="0"/>
          <w:smallCaps w:val="0"/>
          <w:strike w:val="0"/>
          <w:color w:val="000000"/>
          <w:spacing w:val="0"/>
          <w:sz w:val="28"/>
          <w:u w:val="none"/>
        </w:rPr>
        <w:t>).</w:t>
      </w:r>
    </w:p>
    <w:p w14:paraId="1D000000">
      <w:pPr>
        <w:ind w:firstLine="0" w:left="0" w:right="0"/>
        <w:jc w:val="both"/>
        <w:rPr>
          <w:sz w:val="28"/>
        </w:rPr>
      </w:pPr>
    </w:p>
    <w:p w14:paraId="1E000000">
      <w:pPr>
        <w:ind w:firstLine="720" w:left="0" w:right="0"/>
        <w:jc w:val="both"/>
      </w:pPr>
      <w:r>
        <w:rPr>
          <w:b w:val="1"/>
          <w:sz w:val="28"/>
        </w:rPr>
        <w:t>2. Информация о проведении выявления и оценки рисков нарушения антимонопольного законодательства</w:t>
      </w:r>
    </w:p>
    <w:p w14:paraId="1F000000">
      <w:pPr>
        <w:ind w:firstLine="720" w:left="0" w:right="0"/>
        <w:jc w:val="both"/>
        <w:rPr>
          <w:b w:val="0"/>
          <w:sz w:val="28"/>
        </w:rPr>
      </w:pPr>
    </w:p>
    <w:p w14:paraId="20000000">
      <w:pPr>
        <w:widowControl w:val="0"/>
        <w:ind w:firstLine="567" w:left="0" w:right="0"/>
        <w:jc w:val="both"/>
      </w:pPr>
      <w:r>
        <w:rPr>
          <w:b w:val="0"/>
          <w:sz w:val="28"/>
        </w:rPr>
        <w:t xml:space="preserve">В силу пункта 12 Порядка при проведении анализа выявленных нарушений антимонопольного законодательства Администрации города Донецка Уполномоченным подразделением,  реализуются следующие мероприятия: </w:t>
      </w:r>
    </w:p>
    <w:p w14:paraId="21000000">
      <w:pPr>
        <w:widowControl w:val="0"/>
        <w:tabs>
          <w:tab w:leader="none" w:pos="720" w:val="left"/>
        </w:tabs>
        <w:ind w:firstLine="454" w:left="0" w:right="0"/>
        <w:jc w:val="both"/>
      </w:pPr>
      <w:r>
        <w:rPr>
          <w:sz w:val="28"/>
        </w:rPr>
        <w:t>1) анализ выявленных нарушений антимонопольного законодательства в деятельности Администрации города Донецка за предыдущие 3 года (наличие предостережений, предупреждений, штрафов, жалоб, возбужденных дел);</w:t>
      </w:r>
    </w:p>
    <w:p w14:paraId="22000000">
      <w:pPr>
        <w:tabs>
          <w:tab w:leader="none" w:pos="720" w:val="left"/>
        </w:tabs>
        <w:ind/>
        <w:jc w:val="both"/>
      </w:pPr>
      <w:r>
        <w:rPr>
          <w:sz w:val="28"/>
        </w:rPr>
        <w:t xml:space="preserve">   </w:t>
      </w:r>
      <w:r>
        <w:rPr>
          <w:sz w:val="28"/>
        </w:rPr>
        <w:t>2) анализ нормативных правовых актов Администрации города Донецка на соответствие действующему антимонопольному законодательству;</w:t>
      </w:r>
    </w:p>
    <w:p w14:paraId="23000000">
      <w:pPr>
        <w:tabs>
          <w:tab w:leader="none" w:pos="720" w:val="left"/>
        </w:tabs>
        <w:ind w:firstLine="283" w:left="0"/>
        <w:jc w:val="both"/>
      </w:pPr>
      <w:r>
        <w:rPr>
          <w:sz w:val="28"/>
        </w:rPr>
        <w:t xml:space="preserve"> </w:t>
      </w:r>
      <w:r>
        <w:rPr>
          <w:sz w:val="28"/>
        </w:rPr>
        <w:t>3)  мониторинг и анализ практики применения Администрацией города Донецка антимонопольного законодательства;</w:t>
      </w:r>
    </w:p>
    <w:p w14:paraId="24000000">
      <w:pPr>
        <w:tabs>
          <w:tab w:leader="none" w:pos="720" w:val="left"/>
        </w:tabs>
        <w:ind/>
        <w:jc w:val="both"/>
      </w:pPr>
      <w:r>
        <w:rPr>
          <w:sz w:val="28"/>
        </w:rPr>
        <w:t xml:space="preserve">  4)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</w:t>
      </w:r>
    </w:p>
    <w:p w14:paraId="25000000">
      <w:pPr>
        <w:widowControl w:val="0"/>
        <w:tabs>
          <w:tab w:leader="none" w:pos="720" w:val="left"/>
        </w:tabs>
        <w:ind w:firstLine="510" w:left="0" w:right="0"/>
        <w:jc w:val="both"/>
      </w:pPr>
      <w:r>
        <w:rPr>
          <w:sz w:val="28"/>
        </w:rPr>
        <w:t>На основании изложенного, в целях выявления рисков нарушения антимонопольного законодательства структурными подразделениями Администрации города Донецка проведен анализ факторов, событий и обстоятельств, которые влияют на совершение таких нарушений.</w:t>
      </w:r>
    </w:p>
    <w:p w14:paraId="26000000">
      <w:pPr>
        <w:widowControl w:val="0"/>
        <w:tabs>
          <w:tab w:leader="none" w:pos="720" w:val="left"/>
        </w:tabs>
        <w:ind w:firstLine="510" w:left="0" w:right="0"/>
        <w:jc w:val="both"/>
        <w:rPr>
          <w:sz w:val="28"/>
          <w:shd w:fill="FFA69B" w:val="clear"/>
        </w:rPr>
      </w:pPr>
    </w:p>
    <w:p w14:paraId="27000000">
      <w:pPr>
        <w:ind w:firstLine="720" w:left="0" w:right="0"/>
        <w:jc w:val="both"/>
      </w:pPr>
      <w:r>
        <w:rPr>
          <w:b w:val="1"/>
          <w:color w:val="000000"/>
          <w:sz w:val="28"/>
        </w:rPr>
        <w:t>2.1. Анализ выявленных нарушений антимонопольного законодательства</w:t>
      </w:r>
    </w:p>
    <w:p w14:paraId="28000000">
      <w:pPr>
        <w:ind w:firstLine="720" w:left="0" w:right="0"/>
        <w:jc w:val="both"/>
      </w:pPr>
    </w:p>
    <w:p w14:paraId="29000000">
      <w:pPr>
        <w:widowControl w:val="0"/>
        <w:ind w:firstLine="567" w:left="0" w:right="0"/>
        <w:jc w:val="both"/>
      </w:pPr>
      <w:r>
        <w:rPr>
          <w:color w:val="000000"/>
          <w:sz w:val="28"/>
        </w:rPr>
        <w:t>Во исполнение пункта 13  Порядка об антимонопольном комплансе Уполномоченным подразделением проведен сбор и  анализ информации о наличии нарушений антимонопольного законодательства в деятельности Администрации города Донецка за предыдущие 3 года.</w:t>
      </w:r>
    </w:p>
    <w:p w14:paraId="2A000000">
      <w:pPr>
        <w:widowControl w:val="0"/>
        <w:ind w:firstLine="567" w:left="0" w:right="0"/>
        <w:jc w:val="both"/>
      </w:pPr>
      <w:r>
        <w:rPr>
          <w:color w:val="000000"/>
          <w:sz w:val="28"/>
        </w:rPr>
        <w:t>По результатам проведенного анализа установлено следующее:</w:t>
      </w:r>
    </w:p>
    <w:p w14:paraId="2B000000">
      <w:pPr>
        <w:widowControl w:val="0"/>
        <w:ind w:firstLine="567" w:left="0" w:right="0"/>
        <w:jc w:val="both"/>
      </w:pPr>
      <w:r>
        <w:rPr>
          <w:color w:val="000000"/>
          <w:sz w:val="28"/>
        </w:rPr>
        <w:t>- рассмотрение дел по вопросам применения и возможного нарушения Администрацией города Донецка норм антимонопольного законодательства в судебных инстанциях не осуществлялось;</w:t>
      </w:r>
    </w:p>
    <w:p w14:paraId="2C000000">
      <w:pPr>
        <w:widowControl w:val="0"/>
        <w:ind w:firstLine="567" w:left="0" w:right="0"/>
        <w:jc w:val="both"/>
      </w:pPr>
      <w:r>
        <w:rPr>
          <w:color w:val="000000"/>
          <w:sz w:val="28"/>
        </w:rPr>
        <w:t>- нормативные правовые акты Администрации муниципального образования «Город Донецк», в которых УФАС России по Ростовской области выявлены нарушения антимонопольного законодательства отсутствуют;</w:t>
      </w:r>
    </w:p>
    <w:p w14:paraId="2D000000">
      <w:pPr>
        <w:widowControl w:val="0"/>
        <w:ind w:firstLine="567" w:left="0" w:right="0"/>
        <w:jc w:val="both"/>
      </w:pPr>
      <w:r>
        <w:rPr>
          <w:color w:val="000000"/>
          <w:sz w:val="28"/>
        </w:rPr>
        <w:t>-</w:t>
      </w:r>
      <w:r>
        <w:rPr>
          <w:color w:val="000000"/>
          <w:sz w:val="28"/>
        </w:rPr>
        <w:t xml:space="preserve"> за период</w:t>
      </w:r>
      <w:r>
        <w:rPr>
          <w:b w:val="0"/>
          <w:color w:val="000000"/>
          <w:sz w:val="28"/>
        </w:rPr>
        <w:t xml:space="preserve"> </w:t>
      </w:r>
      <w:r>
        <w:rPr>
          <w:b w:val="0"/>
          <w:color w:val="000000"/>
          <w:sz w:val="28"/>
        </w:rPr>
        <w:t>2021-202</w:t>
      </w:r>
      <w:r>
        <w:rPr>
          <w:b w:val="0"/>
          <w:color w:val="000000"/>
          <w:sz w:val="28"/>
        </w:rPr>
        <w:t xml:space="preserve">3 </w:t>
      </w:r>
      <w:r>
        <w:rPr>
          <w:b w:val="0"/>
          <w:color w:val="000000"/>
          <w:sz w:val="28"/>
        </w:rPr>
        <w:t>г</w:t>
      </w:r>
      <w:r>
        <w:rPr>
          <w:color w:val="000000"/>
          <w:sz w:val="28"/>
        </w:rPr>
        <w:t>оды в деятельности Администрации города Донецка выявлены следующие нарушения антимонопольного законодательства:</w:t>
      </w:r>
    </w:p>
    <w:p w14:paraId="2E000000">
      <w:pPr>
        <w:widowControl w:val="0"/>
        <w:ind w:firstLine="567" w:left="0" w:right="0"/>
        <w:jc w:val="both"/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b w:val="0"/>
          <w:sz w:val="28"/>
        </w:rPr>
        <w:t>202</w:t>
      </w:r>
      <w:r>
        <w:rPr>
          <w:rFonts w:ascii="Times New Roman" w:hAnsi="Times New Roman"/>
          <w:b w:val="0"/>
          <w:sz w:val="28"/>
        </w:rPr>
        <w:t>1</w:t>
      </w:r>
      <w:r>
        <w:rPr>
          <w:rFonts w:ascii="Times New Roman" w:hAnsi="Times New Roman"/>
          <w:sz w:val="28"/>
        </w:rPr>
        <w:t xml:space="preserve"> году УФАС РО вынесено решение 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i w:val="0"/>
          <w:strike w:val="0"/>
          <w:shadow w:val="0"/>
          <w:color w:val="000000"/>
          <w:sz w:val="28"/>
          <w:u w:val="none"/>
        </w:rPr>
        <w:t>аннулировании протокола аукционной документации по контракту: «Выполнение работ по объекту: «Мероприятия по обеспечению устойчивого</w:t>
      </w:r>
      <w:r>
        <w:rPr>
          <w:rFonts w:ascii="Times New Roman" w:hAnsi="Times New Roman"/>
          <w:b w:val="0"/>
          <w:i w:val="0"/>
          <w:strike w:val="0"/>
          <w:shadow w:val="0"/>
          <w:color w:val="000000"/>
          <w:sz w:val="28"/>
          <w:u w:val="none"/>
        </w:rPr>
        <w:t xml:space="preserve"> водоснабжения и водоотведения инвестиционных площадок города Донецка Ростовской области». 3-й этап - Строительство сооружений водоподготовки производительностью 12 тыс.м3/сут. (Инвестиционная площадка №2). Пуско-наладочные работы»,  возврата на этап подачи заявок по жалобе в части установления показателя нестоимостного критерия оценки в нарушение требований п.27 (2) постановления Правительства Российской Федерации от 28.11.2013 г № 1085.</w:t>
      </w:r>
    </w:p>
    <w:p w14:paraId="2F000000">
      <w:pPr>
        <w:widowControl w:val="0"/>
        <w:ind w:firstLine="567" w:left="0" w:right="0"/>
        <w:jc w:val="both"/>
      </w:pPr>
      <w:r>
        <w:rPr>
          <w:rFonts w:ascii="Times New Roman" w:hAnsi="Times New Roman"/>
          <w:b w:val="0"/>
          <w:i w:val="0"/>
          <w:strike w:val="0"/>
          <w:shadow w:val="0"/>
          <w:color w:val="000000"/>
          <w:sz w:val="28"/>
          <w:u w:val="none"/>
        </w:rPr>
        <w:t>Жалоба признана частично обоснованной. Заказч</w:t>
      </w:r>
      <w:r>
        <w:rPr>
          <w:rFonts w:ascii="Times New Roman" w:hAnsi="Times New Roman"/>
          <w:b w:val="0"/>
          <w:i w:val="0"/>
          <w:strike w:val="0"/>
          <w:shadow w:val="0"/>
          <w:color w:val="000000"/>
          <w:sz w:val="28"/>
          <w:u w:val="none"/>
        </w:rPr>
        <w:t>иком нарушена ч.1 ст.54.3 Закона 44-ФЗ.</w:t>
      </w:r>
    </w:p>
    <w:p w14:paraId="30000000">
      <w:pPr>
        <w:widowControl w:val="0"/>
        <w:ind w:firstLine="567" w:left="0" w:right="0"/>
        <w:jc w:val="both"/>
        <w:rPr>
          <w:b w:val="0"/>
        </w:rPr>
      </w:pPr>
      <w:r>
        <w:rPr>
          <w:b w:val="0"/>
          <w:sz w:val="28"/>
        </w:rPr>
        <w:t xml:space="preserve">В </w:t>
      </w:r>
      <w:r>
        <w:rPr>
          <w:b w:val="0"/>
          <w:sz w:val="28"/>
        </w:rPr>
        <w:t>2022 г</w:t>
      </w:r>
      <w:r>
        <w:rPr>
          <w:b w:val="0"/>
          <w:sz w:val="28"/>
        </w:rPr>
        <w:t xml:space="preserve">оду </w:t>
      </w:r>
      <w:r>
        <w:rPr>
          <w:b w:val="0"/>
          <w:sz w:val="28"/>
        </w:rPr>
        <w:t xml:space="preserve"> УФАС РО вынесены следующие решения:</w:t>
      </w:r>
    </w:p>
    <w:p w14:paraId="31000000">
      <w:pPr>
        <w:widowControl w:val="0"/>
        <w:numPr>
          <w:numId w:val="1"/>
        </w:numPr>
        <w:ind w:firstLine="567" w:left="0" w:right="0"/>
        <w:jc w:val="both"/>
        <w:rPr>
          <w:sz w:val="28"/>
        </w:rPr>
      </w:pPr>
      <w:r>
        <w:rPr>
          <w:sz w:val="28"/>
        </w:rPr>
        <w:t xml:space="preserve"> Отмена закупки на предмет: «</w:t>
      </w:r>
      <w:r>
        <w:rPr>
          <w:sz w:val="28"/>
        </w:rPr>
        <w:t>Поставка систем инфузионных</w:t>
      </w:r>
      <w:r>
        <w:rPr>
          <w:sz w:val="28"/>
        </w:rPr>
        <w:t xml:space="preserve">». </w:t>
      </w:r>
      <w:r>
        <w:rPr>
          <w:sz w:val="28"/>
        </w:rPr>
        <w:t xml:space="preserve">Нарушение требований к формированию лота при осуществлении закупок отдельных видов товаров, работ, услуг, установленных Постановлением Правительства РФ № 620 от 19 апреля 2021 г. № 620 в соответствии с п. 2 ч. 29 ст. 34 Федерального закона «О контрактной системе в сфере закупок товаров, работ, услуг для обеспечения государственных и муниципальных нужд». </w:t>
      </w:r>
      <w:r>
        <w:rPr>
          <w:sz w:val="28"/>
        </w:rPr>
        <w:t>Жалоба признана обоснованной. Заказчик нарушил ч.3 ст. 14, п. 2 ч. 29 ст. 34, п. 1 ч. 1 ст. 64 Закона.</w:t>
      </w:r>
    </w:p>
    <w:p w14:paraId="32000000">
      <w:pPr>
        <w:widowControl w:val="0"/>
        <w:numPr>
          <w:numId w:val="1"/>
        </w:numPr>
        <w:ind w:firstLine="567" w:left="0" w:right="0"/>
        <w:jc w:val="both"/>
        <w:rPr>
          <w:sz w:val="28"/>
        </w:rPr>
      </w:pPr>
      <w:r>
        <w:rPr>
          <w:sz w:val="28"/>
        </w:rPr>
        <w:t xml:space="preserve"> Отмена закупки на предмет: «</w:t>
      </w:r>
      <w:r>
        <w:rPr>
          <w:sz w:val="28"/>
        </w:rPr>
        <w:t>Поставка шприцов</w:t>
      </w:r>
      <w:r>
        <w:rPr>
          <w:sz w:val="28"/>
        </w:rPr>
        <w:t xml:space="preserve">». </w:t>
      </w:r>
      <w:r>
        <w:rPr>
          <w:sz w:val="28"/>
        </w:rPr>
        <w:t xml:space="preserve">Нарушение требований к формированию лота при осуществлении закупок отдельных видов товаров, работ, услуг, установленных Постановлением Правительства РФ № 620 от 19 апреля 2021 г. № 620 в соответствии с п. 2 ч. 29 ст. 34 Федерального закона «О контрактной системе в сфере закупок товаров, работ, услуг для обеспечения государственных и муниципальных нужд». </w:t>
      </w:r>
      <w:r>
        <w:rPr>
          <w:sz w:val="28"/>
        </w:rPr>
        <w:t>Жалоба признана обоснованной. Заказчик нарушил ч.3 ст. 14, п. 2 ч. 29 ст. 34, п. 1 ч. 1 ст. 64 Закона.</w:t>
      </w:r>
    </w:p>
    <w:p w14:paraId="33000000">
      <w:pPr>
        <w:widowControl w:val="0"/>
        <w:numPr>
          <w:numId w:val="1"/>
        </w:numPr>
        <w:ind w:firstLine="567" w:left="0" w:right="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 Отмена закупки на предмет: «</w:t>
      </w:r>
      <w:r>
        <w:rPr>
          <w:sz w:val="28"/>
        </w:rPr>
        <w:t>Поставка перевязочного материала</w:t>
      </w:r>
      <w:r>
        <w:rPr>
          <w:sz w:val="28"/>
        </w:rPr>
        <w:t xml:space="preserve">». </w:t>
      </w:r>
      <w:r>
        <w:rPr>
          <w:sz w:val="28"/>
        </w:rPr>
        <w:t xml:space="preserve">Нарушение требований к формированию лота при осуществлении закупок отдельных видов товаров, работ, услуг, установленных Постановлением Правительства РФ № 620 от 19 апреля 2021 г. № 620 в соответствии с п. 2 ч. 29 ст. 34 Федерального закона «О контрактной системе в сфере закупок товаров, работ, услуг для обеспечения государственных и муниципальных нужд». </w:t>
      </w:r>
      <w:r>
        <w:rPr>
          <w:sz w:val="28"/>
        </w:rPr>
        <w:t>Жалоба признана обоснованной. Заказчик нарушил ч.3 ст. 14, п. 2 ч. 29 ст. 34, п. 1 ч. 1 ст. 64 Закона.</w:t>
      </w:r>
    </w:p>
    <w:p w14:paraId="34000000">
      <w:pPr>
        <w:widowControl w:val="0"/>
        <w:numPr>
          <w:numId w:val="1"/>
        </w:numPr>
        <w:ind w:firstLine="567" w:left="0" w:right="0"/>
        <w:jc w:val="both"/>
        <w:rPr>
          <w:sz w:val="28"/>
        </w:rPr>
      </w:pPr>
      <w:r>
        <w:rPr>
          <w:sz w:val="28"/>
        </w:rPr>
        <w:t xml:space="preserve"> Жалоба </w:t>
      </w:r>
      <w:r>
        <w:rPr>
          <w:sz w:val="28"/>
        </w:rPr>
        <w:t>на предмет закупки</w:t>
      </w:r>
      <w:r>
        <w:rPr>
          <w:sz w:val="28"/>
        </w:rPr>
        <w:t>: «</w:t>
      </w:r>
      <w:r>
        <w:rPr>
          <w:sz w:val="28"/>
        </w:rPr>
        <w:t xml:space="preserve">Выполнение работ по ремонту линий электроосвещения 3-го микрорайона муниципального образования «Город Донецк» в 2022 году с заменой ламп и светильников, вышедших из строя». Нарушение </w:t>
      </w:r>
      <w:r>
        <w:rPr>
          <w:sz w:val="28"/>
        </w:rPr>
        <w:t>требований к наличию у участника закупки опыта работы в соответствии с позицией 15 Приложения к Постановлению Правительства РФ от 29.12.2021 N 2571 «О дополнительных требованиях к участникам закупки отдельных видов товаров, работ, услуг для обеспечения государственных и муниципальных нужд, а также об информации и документах, подтверждающих соответствие участников закупки указанным дополнительным требованиям, и признании утратившими силу некоторых актов и отдельных положений актов Правительства Российской Федерации</w:t>
      </w:r>
      <w:r>
        <w:rPr>
          <w:sz w:val="28"/>
        </w:rPr>
        <w:t>». Ж</w:t>
      </w:r>
      <w:r>
        <w:rPr>
          <w:sz w:val="28"/>
        </w:rPr>
        <w:t>алоба признана необоснованной.</w:t>
      </w:r>
    </w:p>
    <w:p w14:paraId="35000000">
      <w:pPr>
        <w:widowControl w:val="0"/>
        <w:numPr>
          <w:numId w:val="1"/>
        </w:numPr>
        <w:ind w:firstLine="425" w:left="0" w:right="0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Жалоба на  предмет закупки: «Средства дезинфекционные на 2023 год». </w:t>
      </w:r>
      <w:r>
        <w:rPr>
          <w:sz w:val="28"/>
        </w:rPr>
        <w:t>Нарушение ч. 3 ст. 14 ФЗ-44. Жалоба частично</w:t>
      </w:r>
      <w:r>
        <w:rPr>
          <w:sz w:val="28"/>
        </w:rPr>
        <w:t xml:space="preserve"> обоснована. Заказчику выдано</w:t>
      </w:r>
      <w:r>
        <w:rPr>
          <w:sz w:val="28"/>
        </w:rPr>
        <w:t xml:space="preserve"> предписание внести изменения в извещение.</w:t>
      </w:r>
    </w:p>
    <w:p w14:paraId="36000000">
      <w:pPr>
        <w:widowControl w:val="0"/>
        <w:numPr>
          <w:numId w:val="1"/>
        </w:numPr>
        <w:ind w:firstLine="425" w:left="0" w:right="0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 Жалоба на  предмет закупки: «Средства дезинфекционные на 2023 год». </w:t>
      </w:r>
      <w:r>
        <w:rPr>
          <w:sz w:val="28"/>
        </w:rPr>
        <w:t xml:space="preserve">Нарушение п. 1 ч. 1 ст. 33 ФЗ-44. </w:t>
      </w:r>
      <w:r>
        <w:rPr>
          <w:sz w:val="28"/>
        </w:rPr>
        <w:t>Жалоба признана не обоснованной.</w:t>
      </w:r>
    </w:p>
    <w:p w14:paraId="37000000">
      <w:pPr>
        <w:widowControl w:val="0"/>
        <w:numPr>
          <w:numId w:val="1"/>
        </w:numPr>
        <w:ind w:firstLine="425" w:left="0" w:right="0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 Жалоба на  предмет закупки: «Средства дезинфекционные на 2023 год». </w:t>
      </w:r>
      <w:r>
        <w:rPr>
          <w:sz w:val="28"/>
        </w:rPr>
        <w:t xml:space="preserve">Нарушение п. 1 ч. 1 ст. 33 ФЗ-44. </w:t>
      </w:r>
      <w:r>
        <w:rPr>
          <w:sz w:val="28"/>
        </w:rPr>
        <w:t>Жалоба признана не обоснованной.</w:t>
      </w:r>
    </w:p>
    <w:p w14:paraId="38000000">
      <w:pPr>
        <w:widowControl w:val="0"/>
        <w:ind w:firstLine="567" w:left="0" w:right="0"/>
        <w:jc w:val="both"/>
        <w:rPr>
          <w:b w:val="0"/>
        </w:rPr>
      </w:pPr>
      <w:r>
        <w:rPr>
          <w:b w:val="0"/>
          <w:sz w:val="28"/>
        </w:rPr>
        <w:t xml:space="preserve">В </w:t>
      </w:r>
      <w:r>
        <w:rPr>
          <w:b w:val="0"/>
          <w:sz w:val="28"/>
        </w:rPr>
        <w:t>2023 г</w:t>
      </w:r>
      <w:r>
        <w:rPr>
          <w:b w:val="0"/>
          <w:sz w:val="28"/>
        </w:rPr>
        <w:t xml:space="preserve">оду </w:t>
      </w:r>
      <w:r>
        <w:rPr>
          <w:b w:val="0"/>
          <w:sz w:val="28"/>
        </w:rPr>
        <w:t xml:space="preserve"> УФАС РО вынесены следующие решения:</w:t>
      </w:r>
    </w:p>
    <w:p w14:paraId="39000000">
      <w:pPr>
        <w:widowControl w:val="0"/>
        <w:ind w:firstLine="425" w:left="0" w:right="0"/>
        <w:jc w:val="both"/>
        <w:rPr>
          <w:rFonts w:ascii="Times New Roman" w:hAnsi="Times New Roman"/>
          <w:b w:val="0"/>
          <w:sz w:val="28"/>
        </w:rPr>
      </w:pPr>
      <w:r>
        <w:rPr>
          <w:b w:val="0"/>
          <w:sz w:val="28"/>
        </w:rPr>
        <w:t xml:space="preserve"> Жалоба </w:t>
      </w:r>
      <w:r>
        <w:rPr>
          <w:b w:val="0"/>
          <w:sz w:val="28"/>
        </w:rPr>
        <w:t>на предмет закупки</w:t>
      </w:r>
      <w:r>
        <w:rPr>
          <w:b w:val="0"/>
          <w:sz w:val="28"/>
        </w:rPr>
        <w:t>: «</w:t>
      </w:r>
      <w:r>
        <w:rPr>
          <w:b w:val="0"/>
          <w:sz w:val="28"/>
        </w:rPr>
        <w:t xml:space="preserve">Благоустройство Соборной площади на пересечении ул. Советская и пер. Госпитальный в городе Донецке Ростовской области» </w:t>
      </w:r>
      <w:r>
        <w:rPr>
          <w:b w:val="0"/>
          <w:sz w:val="28"/>
        </w:rPr>
        <w:t xml:space="preserve">на требование к наличию у участника закупки опыта работы в соответствии с позицией 9 Приложения к Постановлению Правительства РФ от 29.12.2021 N 2571 «О дополнительных требованиях к участникам закупки отдельных видов товаров, работ, услуг для обеспечения государственных и муниципальных нужд, а также об информации и документах, подтверждающих соответствие участников закупки указанным дополнительным требованиям, и признании утратившими силу некоторых актов и отдельных положений актов Правительства Российской Федерации».       </w:t>
      </w:r>
    </w:p>
    <w:p w14:paraId="3A000000">
      <w:pPr>
        <w:widowControl w:val="0"/>
        <w:ind w:firstLine="425" w:left="0" w:right="0"/>
        <w:jc w:val="both"/>
        <w:rPr>
          <w:rFonts w:ascii="Times New Roman" w:hAnsi="Times New Roman"/>
          <w:b w:val="0"/>
          <w:sz w:val="28"/>
        </w:rPr>
      </w:pPr>
      <w:r>
        <w:rPr>
          <w:b w:val="0"/>
          <w:sz w:val="28"/>
        </w:rPr>
        <w:t>Жалоба признана не обоснованной.</w:t>
      </w:r>
    </w:p>
    <w:p w14:paraId="3B000000">
      <w:pPr>
        <w:widowControl w:val="0"/>
        <w:ind w:right="0"/>
        <w:jc w:val="both"/>
        <w:rPr>
          <w:rFonts w:ascii="Times New Roman" w:hAnsi="Times New Roman"/>
          <w:b w:val="0"/>
          <w:sz w:val="28"/>
        </w:rPr>
      </w:pPr>
    </w:p>
    <w:p w14:paraId="3C000000">
      <w:pPr>
        <w:widowControl w:val="0"/>
        <w:ind w:firstLine="567" w:left="0" w:right="0"/>
        <w:jc w:val="both"/>
      </w:pPr>
      <w:r>
        <w:rPr>
          <w:rFonts w:ascii="Times New Roman" w:hAnsi="Times New Roman"/>
          <w:b w:val="1"/>
          <w:i w:val="0"/>
          <w:strike w:val="0"/>
          <w:shadow w:val="0"/>
          <w:color w:val="000000"/>
          <w:sz w:val="28"/>
          <w:u w:val="none"/>
        </w:rPr>
        <w:t>2.2. Анализ действующих нормативных правовых актов Администрации города Донецка на предмет соответствия антимонопольному законодательству</w:t>
      </w:r>
    </w:p>
    <w:p w14:paraId="3D000000">
      <w:pPr>
        <w:widowControl w:val="0"/>
        <w:ind w:firstLine="567" w:left="0" w:right="0"/>
        <w:jc w:val="both"/>
        <w:rPr>
          <w:rFonts w:ascii="Times New Roman" w:hAnsi="Times New Roman"/>
          <w:b w:val="1"/>
          <w:sz w:val="28"/>
        </w:rPr>
      </w:pPr>
    </w:p>
    <w:p w14:paraId="3E000000">
      <w:pPr>
        <w:widowControl w:val="0"/>
        <w:ind w:firstLine="510" w:left="0" w:right="0"/>
        <w:jc w:val="both"/>
      </w:pPr>
      <w:r>
        <w:rPr>
          <w:rFonts w:ascii="Times New Roman" w:hAnsi="Times New Roman"/>
          <w:sz w:val="28"/>
        </w:rPr>
        <w:t>Во исполнение пункта 14 Порядка в целях выявления и исключения рисков  антимонопольного законодательства и проведения нормативных  правовых актов органа местного самоуправление на соответствие антимонопольному законодательству сформирован  исчерпывающий переч</w:t>
      </w:r>
      <w:r>
        <w:rPr>
          <w:rFonts w:ascii="Times New Roman" w:hAnsi="Times New Roman"/>
          <w:sz w:val="28"/>
        </w:rPr>
        <w:t>ень</w:t>
      </w:r>
      <w:r>
        <w:rPr>
          <w:rFonts w:ascii="Times New Roman" w:hAnsi="Times New Roman"/>
          <w:sz w:val="28"/>
        </w:rPr>
        <w:t xml:space="preserve"> нормативных правовых актов Администрации города Донецка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тайне.</w:t>
      </w:r>
    </w:p>
    <w:p w14:paraId="3F000000">
      <w:pPr>
        <w:widowControl w:val="0"/>
        <w:ind w:firstLine="510" w:left="0" w:right="0"/>
        <w:jc w:val="both"/>
      </w:pPr>
      <w:r>
        <w:rPr>
          <w:rFonts w:ascii="Times New Roman" w:hAnsi="Times New Roman"/>
          <w:sz w:val="28"/>
        </w:rPr>
        <w:t xml:space="preserve">Указанный перечень актов размещен на официальном сайте </w:t>
      </w:r>
      <w:r>
        <w:rPr>
          <w:rFonts w:ascii="Times New Roman" w:hAnsi="Times New Roman"/>
          <w:sz w:val="28"/>
        </w:rPr>
        <w:t>муниципального образования «Город Донецк»</w:t>
      </w:r>
      <w:r>
        <w:rPr>
          <w:rFonts w:ascii="Times New Roman" w:hAnsi="Times New Roman"/>
          <w:sz w:val="28"/>
        </w:rPr>
        <w:t xml:space="preserve"> (далее – сайт).</w:t>
      </w:r>
    </w:p>
    <w:p w14:paraId="40000000">
      <w:pPr>
        <w:widowControl w:val="0"/>
        <w:ind w:firstLine="510" w:left="0" w:right="0"/>
        <w:jc w:val="both"/>
      </w:pPr>
      <w:r>
        <w:rPr>
          <w:rFonts w:ascii="Times New Roman" w:hAnsi="Times New Roman"/>
          <w:sz w:val="28"/>
        </w:rPr>
        <w:t xml:space="preserve">Замечания и предложения по перечню актов Администрации города Донецка на предмет их влияния  на конкуренцию могли быть направлены заинтересованным лицами в соответствии с размещенной формой. </w:t>
      </w:r>
    </w:p>
    <w:p w14:paraId="41000000">
      <w:pPr>
        <w:widowControl w:val="0"/>
        <w:ind w:firstLine="510" w:left="0" w:right="0"/>
        <w:jc w:val="both"/>
      </w:pPr>
      <w:r>
        <w:rPr>
          <w:rFonts w:ascii="Times New Roman" w:hAnsi="Times New Roman"/>
          <w:sz w:val="28"/>
        </w:rPr>
        <w:t xml:space="preserve">По итогам проведенного анализа действующих муниципальных нормативных правовых актов (далее — МНПА) за </w:t>
      </w:r>
      <w:r>
        <w:rPr>
          <w:rFonts w:ascii="Times New Roman" w:hAnsi="Times New Roman"/>
          <w:b w:val="1"/>
          <w:sz w:val="28"/>
        </w:rPr>
        <w:t xml:space="preserve">2023 </w:t>
      </w:r>
      <w:r>
        <w:rPr>
          <w:rFonts w:ascii="Times New Roman" w:hAnsi="Times New Roman"/>
          <w:sz w:val="28"/>
        </w:rPr>
        <w:t xml:space="preserve">год Уполномоченным подразделением сделан вывод об их соответствии антимонопольному законодательству, а также об  отсутствии необходимости внесения изменений в действующие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НПА Администрации города Донецка.</w:t>
      </w:r>
    </w:p>
    <w:p w14:paraId="42000000">
      <w:pPr>
        <w:widowControl w:val="0"/>
        <w:ind w:firstLine="567" w:left="0" w:right="0"/>
        <w:jc w:val="both"/>
        <w:rPr>
          <w:sz w:val="28"/>
        </w:rPr>
      </w:pPr>
    </w:p>
    <w:p w14:paraId="43000000">
      <w:pPr>
        <w:ind w:firstLine="720" w:left="0" w:right="0"/>
        <w:jc w:val="both"/>
      </w:pPr>
      <w:r>
        <w:rPr>
          <w:b w:val="1"/>
          <w:sz w:val="28"/>
        </w:rPr>
        <w:t>2.3. Анализ проектов нормативных правовых актов Администрации города Донецка</w:t>
      </w:r>
    </w:p>
    <w:p w14:paraId="44000000">
      <w:pPr>
        <w:ind w:firstLine="720" w:left="0" w:right="0"/>
        <w:jc w:val="both"/>
        <w:rPr>
          <w:b w:val="1"/>
          <w:sz w:val="28"/>
        </w:rPr>
      </w:pPr>
    </w:p>
    <w:p w14:paraId="45000000">
      <w:pPr>
        <w:widowControl w:val="0"/>
        <w:ind w:firstLine="567" w:left="0" w:right="0"/>
        <w:jc w:val="both"/>
      </w:pPr>
      <w:r>
        <w:rPr>
          <w:sz w:val="28"/>
        </w:rPr>
        <w:t xml:space="preserve">Анализ проектов нормативных правовых актов администрации на предмет соответствия требованиям антимонопольного законодательства осуществляется юридическим отделом Администрации города Донецка при проведении правовой и антикоррупционной экспертиз проектов, поступающих на согласование. В </w:t>
      </w:r>
      <w:r>
        <w:rPr>
          <w:b w:val="1"/>
          <w:sz w:val="28"/>
        </w:rPr>
        <w:t>2023</w:t>
      </w:r>
      <w:r>
        <w:rPr>
          <w:sz w:val="28"/>
        </w:rPr>
        <w:t xml:space="preserve"> году риски нарушения антимонопольного законодательства не выявлены. </w:t>
      </w:r>
    </w:p>
    <w:p w14:paraId="46000000">
      <w:pPr>
        <w:widowControl w:val="0"/>
        <w:ind w:firstLine="510" w:left="0" w:right="0"/>
        <w:jc w:val="both"/>
      </w:pPr>
      <w:r>
        <w:rPr>
          <w:sz w:val="28"/>
        </w:rPr>
        <w:t xml:space="preserve">По итогам проведенного анализа </w:t>
      </w:r>
      <w:r>
        <w:rPr>
          <w:sz w:val="28"/>
        </w:rPr>
        <w:t>М</w:t>
      </w:r>
      <w:r>
        <w:rPr>
          <w:sz w:val="28"/>
        </w:rPr>
        <w:t>НПА Администрации сделан вывод об их соответствии антимонопольному законодательству, о нецелесообразности внесения изменений в действующие нормативные правовые акты, а также разработанные проекты нормативных правовых актов.</w:t>
      </w:r>
    </w:p>
    <w:p w14:paraId="47000000">
      <w:pPr>
        <w:ind w:firstLine="720" w:left="0" w:right="0"/>
        <w:jc w:val="both"/>
        <w:rPr>
          <w:sz w:val="28"/>
        </w:rPr>
      </w:pPr>
    </w:p>
    <w:p w14:paraId="48000000">
      <w:pPr>
        <w:ind w:firstLine="720" w:left="0" w:right="0"/>
        <w:jc w:val="both"/>
      </w:pPr>
      <w:r>
        <w:rPr>
          <w:b w:val="1"/>
          <w:sz w:val="28"/>
        </w:rPr>
        <w:t>2.4. Мониторинг и анализ практики применения Администрации города Донецка антимонопольного законодательства</w:t>
      </w:r>
    </w:p>
    <w:p w14:paraId="49000000">
      <w:pPr>
        <w:ind w:firstLine="720" w:left="0" w:right="0"/>
        <w:jc w:val="both"/>
      </w:pPr>
      <w:r>
        <w:rPr>
          <w:sz w:val="28"/>
        </w:rPr>
        <w:t>В рамках указанного мероприятия в</w:t>
      </w:r>
      <w:r>
        <w:rPr>
          <w:b w:val="1"/>
          <w:sz w:val="28"/>
        </w:rPr>
        <w:t xml:space="preserve"> 2023 </w:t>
      </w:r>
      <w:r>
        <w:rPr>
          <w:sz w:val="28"/>
        </w:rPr>
        <w:t>году юридическим отделом администрации направлены: запросы сведений от структурных подразделений администрации</w:t>
      </w:r>
      <w:r>
        <w:rPr>
          <w:rFonts w:ascii="Arial" w:hAnsi="Arial"/>
          <w:color w:val="000000"/>
          <w:sz w:val="21"/>
          <w:highlight w:val="white"/>
        </w:rPr>
        <w:t xml:space="preserve"> </w:t>
      </w:r>
      <w:r>
        <w:rPr>
          <w:sz w:val="28"/>
        </w:rPr>
        <w:t>в целях получения сведений о нарушениях антимонопольного законодательства в их сфере деятельности, разработчиков проектов нормативных правовых актов администрации о наличии (отсутствии) замечаний и предложений по результатам общественного обсуждения соответствующих проектов нормативных правовых актов, запросы сведений о выявленных конфликтах интересов в деятельности муниципальных служащих администрации в сфере функционирования антимонопольного комплаенса в администрации, разработанных предложениях по его предотвращению, о проведении соответствующих служебных проверок.</w:t>
      </w:r>
    </w:p>
    <w:p w14:paraId="4A000000">
      <w:pPr>
        <w:widowControl w:val="0"/>
        <w:ind w:firstLine="510" w:left="0" w:right="0"/>
        <w:jc w:val="both"/>
      </w:pPr>
      <w:r>
        <w:rPr>
          <w:sz w:val="28"/>
        </w:rPr>
        <w:t xml:space="preserve">Согласно информации, поступившей на перечисленные выше запросы, замечания и предложения по результатам общественного обсуждения проектов нормативных правовых актов, отсутствовали; ситуаций конфликта интересов в </w:t>
      </w:r>
      <w:r>
        <w:rPr>
          <w:sz w:val="28"/>
        </w:rPr>
        <w:t>деятельности муниципальных служащих администрации муниципального района в</w:t>
      </w:r>
      <w:r>
        <w:rPr>
          <w:sz w:val="28"/>
        </w:rPr>
        <w:t xml:space="preserve"> 2023</w:t>
      </w:r>
      <w:r>
        <w:rPr>
          <w:sz w:val="28"/>
        </w:rPr>
        <w:t xml:space="preserve"> году в сфере функционирования антимонопольного комплаенса в администрации не выявлено, служебных проверок не проводилось.</w:t>
      </w:r>
    </w:p>
    <w:p w14:paraId="4B000000">
      <w:pPr>
        <w:ind w:firstLine="0" w:left="0" w:right="0"/>
        <w:jc w:val="both"/>
        <w:rPr>
          <w:sz w:val="28"/>
        </w:rPr>
      </w:pPr>
    </w:p>
    <w:p w14:paraId="4C000000">
      <w:pPr>
        <w:ind w:firstLine="720" w:left="0" w:right="0"/>
        <w:jc w:val="center"/>
      </w:pPr>
      <w:r>
        <w:rPr>
          <w:b w:val="1"/>
          <w:sz w:val="28"/>
        </w:rPr>
        <w:t>3. Исполнение мероприятий по снижению рисков нарушения антимонопольного законодательства</w:t>
      </w:r>
    </w:p>
    <w:p w14:paraId="4D000000">
      <w:pPr>
        <w:ind w:firstLine="720" w:left="0" w:right="0"/>
        <w:jc w:val="center"/>
        <w:rPr>
          <w:b w:val="1"/>
          <w:sz w:val="28"/>
        </w:rPr>
      </w:pPr>
    </w:p>
    <w:p w14:paraId="4E000000">
      <w:pPr>
        <w:widowControl w:val="0"/>
        <w:ind w:firstLine="567" w:left="0" w:right="0"/>
        <w:jc w:val="both"/>
      </w:pPr>
      <w:r>
        <w:rPr>
          <w:sz w:val="28"/>
        </w:rPr>
        <w:t xml:space="preserve">В целях выявления рисков нарушения антимонопольного законодательства  </w:t>
      </w:r>
      <w:r>
        <w:rPr>
          <w:rFonts w:ascii="Times New Roman" w:hAnsi="Times New Roman"/>
          <w:sz w:val="28"/>
        </w:rPr>
        <w:t>Уполномоченным подразделением осуществлен ряд мероприятий, предусмотренных Порядком, а именно:</w:t>
      </w:r>
    </w:p>
    <w:p w14:paraId="4F000000">
      <w:pPr>
        <w:widowControl w:val="0"/>
        <w:ind w:firstLine="567" w:left="0" w:right="0"/>
        <w:jc w:val="both"/>
      </w:pPr>
      <w:r>
        <w:rPr>
          <w:rFonts w:ascii="Times New Roman" w:hAnsi="Times New Roman"/>
          <w:sz w:val="28"/>
        </w:rPr>
        <w:t>1) запрошены предложения от структурных подразделений Администрации города Донецка о наиболее вероятных нарушениях антимонопольного законодательства со стороны Администрации города Донецка;</w:t>
      </w:r>
    </w:p>
    <w:p w14:paraId="50000000">
      <w:pPr>
        <w:widowControl w:val="0"/>
        <w:ind w:firstLine="567" w:left="0" w:right="0"/>
        <w:jc w:val="both"/>
      </w:pPr>
      <w:r>
        <w:rPr>
          <w:sz w:val="28"/>
        </w:rPr>
        <w:t>2) проведена оценка поступивших предложений структурных подразделений Администрации города Донецка с учетом ряда показателей:</w:t>
      </w:r>
    </w:p>
    <w:p w14:paraId="51000000">
      <w:pPr>
        <w:widowControl w:val="0"/>
        <w:ind w:firstLine="624" w:left="0" w:right="57"/>
        <w:jc w:val="both"/>
      </w:pPr>
      <w:r>
        <w:rPr>
          <w:sz w:val="28"/>
        </w:rPr>
        <w:t>- отрицательное влияние на отношение институтов гражданского общества к Администрации города Донецка, вероятность выдачи предупреждения, возбуждения дела о нарушении антимонопольного законодательства, наложения штрафа отсутствует;</w:t>
      </w:r>
    </w:p>
    <w:p w14:paraId="52000000">
      <w:pPr>
        <w:widowControl w:val="0"/>
        <w:ind w:firstLine="624" w:left="0" w:right="57"/>
        <w:jc w:val="both"/>
      </w:pPr>
      <w:r>
        <w:rPr>
          <w:sz w:val="28"/>
        </w:rPr>
        <w:t>- выдача соответствующими органами предупреждения Администрации города Донецка;</w:t>
      </w:r>
    </w:p>
    <w:p w14:paraId="53000000">
      <w:pPr>
        <w:widowControl w:val="0"/>
        <w:ind w:firstLine="624" w:left="0" w:right="57"/>
        <w:jc w:val="both"/>
      </w:pPr>
      <w:r>
        <w:rPr>
          <w:sz w:val="28"/>
        </w:rPr>
        <w:t>-  выдача соответствующими органами предупреждения и возбуждения в отношении Администрации города Донецка дела о нарушении антимонопольного законодательства;</w:t>
      </w:r>
    </w:p>
    <w:p w14:paraId="54000000">
      <w:pPr>
        <w:widowControl w:val="0"/>
        <w:ind w:firstLine="624" w:left="0" w:right="57"/>
        <w:jc w:val="both"/>
      </w:pPr>
      <w:r>
        <w:rPr>
          <w:sz w:val="28"/>
        </w:rPr>
        <w:t>- выдача соответствующими органами предупреждения, возбуждения дела в отношении Администрации города Донецка о нарушении антимонопольного законодательства и привлечения к административной ответственности (штраф, дисквалификация).</w:t>
      </w:r>
    </w:p>
    <w:p w14:paraId="55000000">
      <w:pPr>
        <w:widowControl w:val="0"/>
        <w:ind w:firstLine="510" w:left="0" w:right="57"/>
        <w:jc w:val="both"/>
      </w:pPr>
      <w:r>
        <w:rPr>
          <w:sz w:val="28"/>
        </w:rPr>
        <w:t xml:space="preserve">По результатам проведения оценки рисков нарушения антимонопольного законодательства Уполномоченным подразделением сформирован </w:t>
      </w:r>
      <w:r>
        <w:rPr>
          <w:b w:val="0"/>
          <w:sz w:val="28"/>
        </w:rPr>
        <w:t>План мероприятий («дорожная карта»)</w:t>
      </w:r>
      <w:r>
        <w:rPr>
          <w:b w:val="0"/>
          <w:sz w:val="28"/>
        </w:rPr>
        <w:t xml:space="preserve"> по снижению рисков нарушения антимонопольного законодательства </w:t>
      </w:r>
      <w:r>
        <w:rPr>
          <w:b w:val="0"/>
          <w:sz w:val="28"/>
        </w:rPr>
        <w:t>на</w:t>
      </w:r>
      <w:r>
        <w:rPr>
          <w:b w:val="0"/>
          <w:sz w:val="28"/>
        </w:rPr>
        <w:t xml:space="preserve"> 2024 год</w:t>
      </w:r>
      <w:r>
        <w:rPr>
          <w:b w:val="0"/>
          <w:sz w:val="28"/>
        </w:rPr>
        <w:t xml:space="preserve"> (далее — План мероприятий) с определением ответственных исполнителей и сроков исполнения по каждому комплаенс - риску, а также Карта  компла</w:t>
      </w:r>
      <w:r>
        <w:rPr>
          <w:b w:val="0"/>
          <w:sz w:val="28"/>
        </w:rPr>
        <w:t>енс - рисков Администрации города Донецка (далее — Карта рисков).</w:t>
      </w:r>
    </w:p>
    <w:p w14:paraId="56000000">
      <w:pPr>
        <w:widowControl w:val="0"/>
        <w:ind w:firstLine="510" w:left="0" w:right="57"/>
        <w:jc w:val="both"/>
      </w:pPr>
      <w:r>
        <w:rPr>
          <w:b w:val="0"/>
          <w:sz w:val="28"/>
        </w:rPr>
        <w:t>План мероприятий и Карта рисков утверждены  заместителем главы Администрации города Донецка по экономике и строительству и размещены на официальном сайте Администрации города Донецка в сети «Интернет» в соответствующих подразделах «План мероприятий (дорожная карта)» и Карта комплаенс - рисков Администрации города Донецка».</w:t>
      </w:r>
    </w:p>
    <w:p w14:paraId="57000000">
      <w:pPr>
        <w:widowControl w:val="0"/>
        <w:ind w:firstLine="510" w:left="0" w:right="57"/>
        <w:jc w:val="both"/>
      </w:pPr>
      <w:r>
        <w:rPr>
          <w:b w:val="0"/>
          <w:sz w:val="28"/>
        </w:rPr>
        <w:t>Мероприятия предусматривают дальнейшее проведение мониторинга и анализа НПА Администрации города Донецка и вносимых в них изменений, практики применения антимонопольного законодательства, повышение квалификации сотрудников органа местного самоуправления.</w:t>
      </w:r>
    </w:p>
    <w:p w14:paraId="58000000">
      <w:pPr>
        <w:widowControl w:val="0"/>
        <w:ind w:firstLine="454" w:left="0" w:right="57"/>
        <w:jc w:val="both"/>
      </w:pPr>
      <w:r>
        <w:rPr>
          <w:b w:val="0"/>
          <w:sz w:val="28"/>
        </w:rPr>
        <w:t>За период</w:t>
      </w:r>
      <w:r>
        <w:rPr>
          <w:b w:val="1"/>
          <w:sz w:val="28"/>
        </w:rPr>
        <w:t xml:space="preserve"> 2023</w:t>
      </w:r>
      <w:r>
        <w:rPr>
          <w:b w:val="0"/>
          <w:sz w:val="28"/>
        </w:rPr>
        <w:t xml:space="preserve"> года все мероприятия Плана мероприятий за истекший период исполнены ответственным исполнителем в установленные сроки.</w:t>
      </w:r>
    </w:p>
    <w:p w14:paraId="59000000">
      <w:pPr>
        <w:widowControl w:val="0"/>
        <w:ind w:firstLine="624" w:left="0" w:right="57"/>
        <w:jc w:val="both"/>
        <w:rPr>
          <w:sz w:val="28"/>
        </w:rPr>
      </w:pPr>
    </w:p>
    <w:p w14:paraId="5A000000">
      <w:pPr>
        <w:ind/>
        <w:jc w:val="both"/>
      </w:pPr>
      <w:r>
        <w:rPr>
          <w:b w:val="1"/>
          <w:sz w:val="28"/>
        </w:rPr>
        <w:t>4. Информация о достижении ключевых показателей эффективности функционирования антимонопольного комплаенса в администрации</w:t>
      </w:r>
    </w:p>
    <w:p w14:paraId="5B000000">
      <w:pPr>
        <w:ind/>
        <w:jc w:val="both"/>
      </w:pPr>
    </w:p>
    <w:p w14:paraId="5C000000">
      <w:pPr>
        <w:ind w:firstLine="720" w:left="0" w:right="0"/>
        <w:jc w:val="both"/>
      </w:pPr>
      <w:r>
        <w:rPr>
          <w:sz w:val="28"/>
        </w:rPr>
        <w:t>В целях оценки эффективности функционирования антимонопольного комплаенса в Администрации города Донецка установлены следующие ключевые показатели:</w:t>
      </w:r>
    </w:p>
    <w:p w14:paraId="5D000000">
      <w:pPr>
        <w:ind w:firstLine="720" w:left="0" w:right="0"/>
        <w:jc w:val="both"/>
        <w:rPr>
          <w:sz w:val="28"/>
        </w:rPr>
      </w:pPr>
    </w:p>
    <w:p w14:paraId="5E000000">
      <w:pPr>
        <w:ind w:firstLine="720" w:left="0" w:right="0"/>
        <w:jc w:val="both"/>
      </w:pPr>
      <w:r>
        <w:rPr>
          <w:sz w:val="28"/>
        </w:rPr>
        <w:t xml:space="preserve">1)  коэффициент снижения количества нарушений антимонопольного законодательства со стороны Администрации города Донецка (по сравнению с </w:t>
      </w:r>
      <w:r>
        <w:rPr>
          <w:sz w:val="28"/>
        </w:rPr>
        <w:t>2021 годом</w:t>
      </w:r>
      <w:r>
        <w:rPr>
          <w:sz w:val="28"/>
        </w:rPr>
        <w:t>);</w:t>
      </w:r>
    </w:p>
    <w:p w14:paraId="5F000000">
      <w:pPr>
        <w:ind w:firstLine="720" w:left="0" w:right="0"/>
        <w:jc w:val="both"/>
      </w:pPr>
      <w:r>
        <w:rPr>
          <w:sz w:val="28"/>
        </w:rPr>
        <w:t>2) доля проектов нормативных правовых актов Администрации города Донецка, в которых выявлены риски нарушения антимонопольного законодательс</w:t>
      </w:r>
      <w:r>
        <w:rPr>
          <w:sz w:val="28"/>
        </w:rPr>
        <w:t>тва;</w:t>
      </w:r>
    </w:p>
    <w:p w14:paraId="60000000">
      <w:pPr>
        <w:ind w:firstLine="720" w:left="0" w:right="0"/>
        <w:jc w:val="both"/>
      </w:pPr>
      <w:r>
        <w:rPr>
          <w:sz w:val="28"/>
        </w:rPr>
        <w:t xml:space="preserve">3) доля нормативных правовых актов Администрации города Донецка в которых выявлены риски нарушения антимонопольного законодательства. </w:t>
      </w:r>
    </w:p>
    <w:p w14:paraId="61000000">
      <w:pPr>
        <w:ind w:firstLine="720" w:left="0" w:right="0"/>
        <w:jc w:val="both"/>
      </w:pPr>
      <w:r>
        <w:rPr>
          <w:sz w:val="28"/>
        </w:rPr>
        <w:t xml:space="preserve">Расчет значений ключевых показателей эффективности функционирования антимонопольного комплаенса в Администрации города Донецка осуществляется на основании методики, утвержденной приказом Федеральной антимонопольной службы от 05.02.2019 № 133/19 «Об утверждении методики расчета ключевых показателей эффективности функционирования в федеральном органе исполнительной власти антимонопольного комплаенса». </w:t>
      </w:r>
    </w:p>
    <w:p w14:paraId="62000000">
      <w:pPr>
        <w:ind w:firstLine="720" w:left="0" w:right="0"/>
        <w:jc w:val="both"/>
        <w:rPr>
          <w:b w:val="0"/>
        </w:rPr>
      </w:pPr>
      <w:r>
        <w:rPr>
          <w:sz w:val="28"/>
        </w:rPr>
        <w:t>Информация о достижении ключевых показателей эффективности антимонопольного комплаенса по итогам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2023</w:t>
      </w:r>
      <w:r>
        <w:rPr>
          <w:b w:val="0"/>
          <w:sz w:val="28"/>
        </w:rPr>
        <w:t xml:space="preserve"> года:</w:t>
      </w:r>
    </w:p>
    <w:p w14:paraId="63000000">
      <w:pPr>
        <w:ind w:firstLine="720" w:left="0" w:right="0"/>
        <w:jc w:val="both"/>
        <w:rPr>
          <w:b w:val="0"/>
          <w:sz w:val="28"/>
        </w:rPr>
      </w:pPr>
    </w:p>
    <w:p w14:paraId="64000000">
      <w:pPr>
        <w:ind w:firstLine="720" w:left="0" w:right="0"/>
        <w:jc w:val="both"/>
        <w:rPr>
          <w:b w:val="0"/>
        </w:rPr>
      </w:pPr>
      <w:r>
        <w:rPr>
          <w:b w:val="0"/>
          <w:color w:val="000000"/>
          <w:sz w:val="28"/>
        </w:rPr>
        <w:t xml:space="preserve">1)  Коэффициент снижения количества нарушений антимонопольного законодательства со стороны Администрации города Донецка (по сравнению с </w:t>
      </w:r>
      <w:r>
        <w:rPr>
          <w:b w:val="0"/>
          <w:color w:val="000000"/>
          <w:sz w:val="28"/>
        </w:rPr>
        <w:t>2021</w:t>
      </w:r>
      <w:r>
        <w:rPr>
          <w:b w:val="0"/>
          <w:color w:val="000000"/>
          <w:sz w:val="28"/>
        </w:rPr>
        <w:t xml:space="preserve"> </w:t>
      </w:r>
      <w:r>
        <w:rPr>
          <w:b w:val="0"/>
          <w:color w:val="000000"/>
          <w:sz w:val="28"/>
        </w:rPr>
        <w:t>годом) (далее — КСН).</w:t>
      </w:r>
    </w:p>
    <w:p w14:paraId="65000000">
      <w:pPr>
        <w:ind w:firstLine="720" w:left="0" w:right="0"/>
        <w:jc w:val="both"/>
        <w:rPr>
          <w:b w:val="0"/>
          <w:color w:val="000000"/>
          <w:sz w:val="28"/>
        </w:rPr>
      </w:pPr>
    </w:p>
    <w:p w14:paraId="66000000">
      <w:pPr>
        <w:ind w:firstLine="720" w:left="0" w:right="0"/>
        <w:jc w:val="both"/>
        <w:rPr>
          <w:b w:val="0"/>
        </w:rPr>
      </w:pPr>
      <w:r>
        <w:rPr>
          <w:b w:val="0"/>
          <w:color w:val="000000"/>
          <w:sz w:val="28"/>
        </w:rPr>
        <w:t>КН 202</w:t>
      </w:r>
      <w:r>
        <w:rPr>
          <w:b w:val="0"/>
          <w:color w:val="000000"/>
          <w:sz w:val="28"/>
        </w:rPr>
        <w:t>1 – количество нарушений антимонопольного законодательства со стороны Администрации города Донецка</w:t>
      </w:r>
      <w:r>
        <w:rPr>
          <w:b w:val="0"/>
          <w:color w:val="000000"/>
          <w:sz w:val="28"/>
        </w:rPr>
        <w:t xml:space="preserve"> </w:t>
      </w:r>
      <w:r>
        <w:rPr>
          <w:b w:val="0"/>
          <w:color w:val="000000"/>
          <w:sz w:val="28"/>
        </w:rPr>
        <w:t>2021</w:t>
      </w:r>
      <w:r>
        <w:rPr>
          <w:b w:val="0"/>
          <w:color w:val="000000"/>
          <w:sz w:val="28"/>
        </w:rPr>
        <w:t xml:space="preserve"> году</w:t>
      </w:r>
      <w:r>
        <w:rPr>
          <w:b w:val="0"/>
          <w:color w:val="000000"/>
          <w:sz w:val="28"/>
        </w:rPr>
        <w:t xml:space="preserve"> – 1</w:t>
      </w:r>
      <w:r>
        <w:rPr>
          <w:b w:val="0"/>
          <w:color w:val="000000"/>
          <w:sz w:val="28"/>
        </w:rPr>
        <w:t xml:space="preserve"> </w:t>
      </w:r>
      <w:r>
        <w:rPr>
          <w:b w:val="0"/>
          <w:color w:val="000000"/>
          <w:sz w:val="28"/>
        </w:rPr>
        <w:t>нарушение;</w:t>
      </w:r>
    </w:p>
    <w:p w14:paraId="67000000">
      <w:pPr>
        <w:ind w:firstLine="720" w:left="0" w:right="0"/>
        <w:jc w:val="both"/>
        <w:rPr>
          <w:b w:val="0"/>
        </w:rPr>
      </w:pPr>
    </w:p>
    <w:p w14:paraId="68000000">
      <w:pPr>
        <w:ind w:firstLine="720" w:left="0" w:right="0"/>
        <w:jc w:val="both"/>
        <w:rPr>
          <w:b w:val="0"/>
        </w:rPr>
      </w:pPr>
      <w:r>
        <w:rPr>
          <w:b w:val="0"/>
          <w:color w:val="000000"/>
          <w:sz w:val="28"/>
        </w:rPr>
        <w:t>КНоп – количество нарушений антимонопольного законодательства   со стороны Администрации города Донецка  в отчетном периоде (2023 год)   –</w:t>
      </w:r>
      <w:r>
        <w:rPr>
          <w:b w:val="0"/>
          <w:color w:val="000000"/>
          <w:sz w:val="28"/>
        </w:rPr>
        <w:t xml:space="preserve"> 0</w:t>
      </w:r>
      <w:r>
        <w:rPr>
          <w:b w:val="0"/>
          <w:color w:val="000000"/>
          <w:sz w:val="28"/>
        </w:rPr>
        <w:t xml:space="preserve"> нарушение.</w:t>
      </w:r>
    </w:p>
    <w:p w14:paraId="69000000">
      <w:pPr>
        <w:ind w:firstLine="720" w:left="0" w:right="0"/>
        <w:jc w:val="both"/>
        <w:rPr>
          <w:b w:val="0"/>
        </w:rPr>
      </w:pPr>
    </w:p>
    <w:p w14:paraId="6A000000">
      <w:pPr>
        <w:ind w:firstLine="720" w:left="0" w:right="0"/>
        <w:jc w:val="both"/>
        <w:rPr>
          <w:b w:val="0"/>
        </w:rPr>
      </w:pPr>
      <w:r>
        <w:rPr>
          <w:b w:val="0"/>
          <w:sz w:val="28"/>
        </w:rPr>
        <w:t xml:space="preserve">Таким образом Коэффициент снижения количества нарушений антимонопольного законодательства  </w:t>
      </w:r>
      <w:r>
        <w:rPr>
          <w:b w:val="0"/>
          <w:color w:val="000000"/>
          <w:sz w:val="28"/>
        </w:rPr>
        <w:t>со стороны Администрации города Донецка</w:t>
      </w:r>
      <w:r>
        <w:rPr>
          <w:b w:val="0"/>
          <w:sz w:val="28"/>
        </w:rPr>
        <w:t xml:space="preserve"> составил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1.</w:t>
      </w:r>
      <w:r>
        <w:rPr>
          <w:b w:val="0"/>
          <w:sz w:val="28"/>
        </w:rPr>
        <w:t xml:space="preserve">  Положительной динамикой считается значение КСН больше либо равно 1 единице. Значение показателя  выполнено.</w:t>
      </w:r>
    </w:p>
    <w:p w14:paraId="6B000000">
      <w:pPr>
        <w:ind w:firstLine="720" w:left="0" w:right="0"/>
        <w:jc w:val="both"/>
        <w:rPr>
          <w:b w:val="0"/>
        </w:rPr>
      </w:pPr>
    </w:p>
    <w:p w14:paraId="6C000000">
      <w:pPr>
        <w:widowControl w:val="0"/>
        <w:ind w:firstLine="567" w:left="0" w:right="0"/>
        <w:jc w:val="both"/>
        <w:rPr>
          <w:b w:val="0"/>
        </w:rPr>
      </w:pPr>
      <w:r>
        <w:rPr>
          <w:b w:val="0"/>
          <w:sz w:val="28"/>
        </w:rPr>
        <w:t xml:space="preserve">2) В </w:t>
      </w:r>
      <w:r>
        <w:rPr>
          <w:b w:val="0"/>
          <w:sz w:val="28"/>
        </w:rPr>
        <w:t xml:space="preserve">2023 </w:t>
      </w:r>
      <w:r>
        <w:rPr>
          <w:b w:val="0"/>
          <w:sz w:val="28"/>
        </w:rPr>
        <w:t xml:space="preserve">году Доля проектов нормативных правовых актов Администрации города Донецка, в которых выявлены риски нарушения  антимонопольного законодательства, равно 0. Значение ключевого показателя в </w:t>
      </w:r>
      <w:r>
        <w:rPr>
          <w:b w:val="0"/>
          <w:sz w:val="28"/>
        </w:rPr>
        <w:t>2023</w:t>
      </w:r>
      <w:r>
        <w:rPr>
          <w:b w:val="0"/>
          <w:sz w:val="28"/>
        </w:rPr>
        <w:t xml:space="preserve"> году достигнуто.</w:t>
      </w:r>
    </w:p>
    <w:p w14:paraId="6D000000">
      <w:pPr>
        <w:widowControl w:val="0"/>
        <w:ind w:firstLine="567" w:left="0" w:right="0"/>
        <w:jc w:val="both"/>
        <w:rPr>
          <w:b w:val="0"/>
        </w:rPr>
      </w:pPr>
      <w:r>
        <w:rPr>
          <w:b w:val="0"/>
          <w:sz w:val="28"/>
        </w:rPr>
        <w:t xml:space="preserve">3) В </w:t>
      </w:r>
      <w:r>
        <w:rPr>
          <w:b w:val="0"/>
          <w:sz w:val="28"/>
        </w:rPr>
        <w:t>2023</w:t>
      </w:r>
      <w:r>
        <w:rPr>
          <w:b w:val="0"/>
          <w:sz w:val="28"/>
        </w:rPr>
        <w:t xml:space="preserve"> году Доля  нормативных правовых актов Администрации города Донецка, в которых выявлены риски нарушения  антимонопольного законодательства, равно 0. Значение ключевого показателя в</w:t>
      </w:r>
      <w:r>
        <w:rPr>
          <w:b w:val="0"/>
          <w:sz w:val="28"/>
        </w:rPr>
        <w:t xml:space="preserve"> 2023</w:t>
      </w:r>
      <w:r>
        <w:rPr>
          <w:b w:val="0"/>
          <w:sz w:val="28"/>
        </w:rPr>
        <w:t xml:space="preserve"> году достигнуто.</w:t>
      </w:r>
    </w:p>
    <w:p w14:paraId="6E000000">
      <w:pPr>
        <w:widowControl w:val="0"/>
        <w:ind w:firstLine="454" w:left="0" w:right="0"/>
        <w:jc w:val="both"/>
      </w:pPr>
      <w:r>
        <w:rPr>
          <w:b w:val="0"/>
          <w:sz w:val="28"/>
        </w:rPr>
        <w:t>Это свидетельствует об эффективном проведении Администрацией го</w:t>
      </w:r>
      <w:r>
        <w:rPr>
          <w:sz w:val="28"/>
        </w:rPr>
        <w:t>рода Донецка мероприятий по анализу проектов нормативных правовых актов на предмет выявления заложенных в них рисков нарушения антимонопольного законодательства.</w:t>
      </w:r>
    </w:p>
    <w:p w14:paraId="6F000000">
      <w:pPr>
        <w:widowControl w:val="0"/>
        <w:ind w:firstLine="510" w:left="0" w:right="0"/>
        <w:jc w:val="both"/>
      </w:pPr>
      <w:r>
        <w:rPr>
          <w:sz w:val="28"/>
        </w:rPr>
        <w:t>Нормативные правовые акты Администрации города Донецка, в которых ФАС России выявлены нарушения антимонопольного законодательства в указанный период, отсутствуют.</w:t>
      </w:r>
    </w:p>
    <w:p w14:paraId="70000000">
      <w:pPr>
        <w:widowControl w:val="0"/>
        <w:ind w:firstLine="510" w:left="0" w:right="0"/>
        <w:jc w:val="both"/>
      </w:pPr>
      <w:r>
        <w:rPr>
          <w:sz w:val="28"/>
        </w:rPr>
        <w:t xml:space="preserve">На основании вышеизложенного функционирование в Администрации города Донецка системы внутреннего обеспечения соответствия  требованиям антимонопольного законодательства позволило сократить риски наступления нарушений антимонопольного законодательства в целях эффективного осуществления полномочий органов местного самоуправления, а также способствует осуществлению непрерывного контроля за деятельностью по разработке муниципальных нормативных правовых документов и исключению в них положений, влекущих  риск нарушения антимонопольного законодательства.  </w:t>
      </w:r>
    </w:p>
    <w:p w14:paraId="71000000">
      <w:pPr>
        <w:ind w:firstLine="720" w:left="0" w:right="0"/>
        <w:jc w:val="both"/>
        <w:rPr>
          <w:sz w:val="28"/>
        </w:rPr>
      </w:pPr>
    </w:p>
    <w:p w14:paraId="72000000">
      <w:pPr>
        <w:ind w:firstLine="720" w:left="0" w:right="0"/>
        <w:jc w:val="both"/>
        <w:rPr>
          <w:sz w:val="28"/>
        </w:rPr>
      </w:pPr>
    </w:p>
    <w:sectPr>
      <w:headerReference r:id="rId3" w:type="first"/>
      <w:headerReference r:id="rId1" w:type="default"/>
      <w:footerReference r:id="rId4" w:type="first"/>
      <w:footerReference r:id="rId2" w:type="default"/>
      <w:pgSz w:h="16838" w:orient="portrait" w:w="11906"/>
      <w:pgMar w:bottom="851" w:footer="567" w:header="567" w:left="1148" w:right="64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posOffset>0</wp:posOffset>
              </wp:positionH>
              <wp:positionV relativeFrom="paragraph">
                <wp:posOffset>635</wp:posOffset>
              </wp:positionV>
              <wp:extent cx="55880" cy="13843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55880" cy="13843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spacing w:val="0"/>
                            </w:rPr>
                          </w:pPr>
                        </w:p>
                      </w:txbxContent>
                    </wps:txbx>
                    <wps:bodyPr anchor="t" bIns="7620" lIns="7620" rIns="7620" tIns="762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pStyle w:val="Style_36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pStyle w:val="Style_58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4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ind/>
    </w:pPr>
    <w:rPr>
      <w:rFonts w:ascii="Times New Roman" w:hAnsi="Times New Roman"/>
      <w:color w:val="000000"/>
      <w:sz w:val="20"/>
    </w:rPr>
  </w:style>
  <w:style w:default="1" w:styleId="Style_7_ch" w:type="character">
    <w:name w:val="Normal"/>
    <w:link w:val="Style_7"/>
    <w:rPr>
      <w:rFonts w:ascii="Times New Roman" w:hAnsi="Times New Roman"/>
      <w:color w:val="000000"/>
      <w:sz w:val="20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2"/>
    <w:next w:val="Style_7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7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7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Тема примечания"/>
    <w:basedOn w:val="Style_13"/>
    <w:next w:val="Style_13"/>
    <w:link w:val="Style_12_ch"/>
    <w:rPr>
      <w:b w:val="1"/>
    </w:rPr>
  </w:style>
  <w:style w:styleId="Style_12_ch" w:type="character">
    <w:name w:val="Тема примечания"/>
    <w:basedOn w:val="Style_13_ch"/>
    <w:link w:val="Style_12"/>
    <w:rPr>
      <w:b w:val="1"/>
    </w:rPr>
  </w:style>
  <w:style w:styleId="Style_4" w:type="paragraph">
    <w:name w:val="Emphasis"/>
    <w:basedOn w:val="Style_14"/>
    <w:link w:val="Style_4_ch"/>
    <w:rPr>
      <w:i w:val="1"/>
    </w:rPr>
  </w:style>
  <w:style w:styleId="Style_4_ch" w:type="character">
    <w:name w:val="Emphasis"/>
    <w:basedOn w:val="Style_14_ch"/>
    <w:link w:val="Style_4"/>
    <w:rPr>
      <w:i w:val="1"/>
    </w:rPr>
  </w:style>
  <w:style w:styleId="Style_15" w:type="paragraph">
    <w:name w:val="Body Text"/>
    <w:basedOn w:val="Style_7"/>
    <w:link w:val="Style_15_ch"/>
    <w:pPr>
      <w:widowControl w:val="1"/>
      <w:ind/>
      <w:jc w:val="center"/>
    </w:pPr>
    <w:rPr>
      <w:b w:val="1"/>
      <w:caps w:val="1"/>
      <w:sz w:val="28"/>
    </w:rPr>
  </w:style>
  <w:style w:styleId="Style_15_ch" w:type="character">
    <w:name w:val="Body Text"/>
    <w:basedOn w:val="Style_7_ch"/>
    <w:link w:val="Style_15"/>
    <w:rPr>
      <w:b w:val="1"/>
      <w:caps w:val="1"/>
      <w:sz w:val="28"/>
    </w:rPr>
  </w:style>
  <w:style w:styleId="Style_16" w:type="paragraph">
    <w:name w:val="toc 7"/>
    <w:next w:val="Style_7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WW8Num2z3"/>
    <w:link w:val="Style_17_ch"/>
  </w:style>
  <w:style w:styleId="Style_17_ch" w:type="character">
    <w:name w:val="WW8Num2z3"/>
    <w:link w:val="Style_17"/>
  </w:style>
  <w:style w:styleId="Style_2" w:type="paragraph">
    <w:name w:val="footer"/>
    <w:basedOn w:val="Style_7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7_ch"/>
    <w:link w:val="Style_2"/>
  </w:style>
  <w:style w:styleId="Style_18" w:type="paragraph">
    <w:name w:val="heading 3"/>
    <w:next w:val="Style_7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WW8Num2z2"/>
    <w:link w:val="Style_19_ch"/>
  </w:style>
  <w:style w:styleId="Style_19_ch" w:type="character">
    <w:name w:val="WW8Num2z2"/>
    <w:link w:val="Style_19"/>
  </w:style>
  <w:style w:styleId="Style_20" w:type="paragraph">
    <w:name w:val="WW8Num1z7"/>
    <w:link w:val="Style_20_ch"/>
  </w:style>
  <w:style w:styleId="Style_20_ch" w:type="character">
    <w:name w:val="WW8Num1z7"/>
    <w:link w:val="Style_20"/>
  </w:style>
  <w:style w:styleId="Style_21" w:type="paragraph">
    <w:name w:val="WW8Num1z8"/>
    <w:link w:val="Style_21_ch"/>
  </w:style>
  <w:style w:styleId="Style_21_ch" w:type="character">
    <w:name w:val="WW8Num1z8"/>
    <w:link w:val="Style_21"/>
  </w:style>
  <w:style w:styleId="Style_22" w:type="paragraph">
    <w:name w:val="page number"/>
    <w:basedOn w:val="Style_14"/>
    <w:link w:val="Style_22_ch"/>
  </w:style>
  <w:style w:styleId="Style_22_ch" w:type="character">
    <w:name w:val="page number"/>
    <w:basedOn w:val="Style_14_ch"/>
    <w:link w:val="Style_22"/>
  </w:style>
  <w:style w:styleId="Style_23" w:type="paragraph">
    <w:name w:val="Заголовок"/>
    <w:basedOn w:val="Style_7"/>
    <w:next w:val="Style_15"/>
    <w:link w:val="Style_2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3_ch" w:type="character">
    <w:name w:val="Заголовок"/>
    <w:basedOn w:val="Style_7_ch"/>
    <w:link w:val="Style_23"/>
    <w:rPr>
      <w:rFonts w:ascii="Liberation Sans" w:hAnsi="Liberation Sans"/>
      <w:sz w:val="28"/>
    </w:rPr>
  </w:style>
  <w:style w:styleId="Style_24" w:type="paragraph">
    <w:name w:val="Знак"/>
    <w:basedOn w:val="Style_7"/>
    <w:link w:val="Style_24_ch"/>
    <w:pPr>
      <w:widowControl w:val="1"/>
      <w:spacing w:after="160" w:before="0" w:line="240" w:lineRule="exact"/>
      <w:ind/>
    </w:pPr>
    <w:rPr>
      <w:rFonts w:ascii="Verdana" w:hAnsi="Verdana"/>
    </w:rPr>
  </w:style>
  <w:style w:styleId="Style_24_ch" w:type="character">
    <w:name w:val="Знак"/>
    <w:basedOn w:val="Style_7_ch"/>
    <w:link w:val="Style_24"/>
    <w:rPr>
      <w:rFonts w:ascii="Verdana" w:hAnsi="Verdana"/>
    </w:rPr>
  </w:style>
  <w:style w:styleId="Style_25" w:type="paragraph">
    <w:name w:val="WW8Num2z1"/>
    <w:link w:val="Style_25_ch"/>
  </w:style>
  <w:style w:styleId="Style_25_ch" w:type="character">
    <w:name w:val="WW8Num2z1"/>
    <w:link w:val="Style_25"/>
  </w:style>
  <w:style w:styleId="Style_26" w:type="paragraph">
    <w:name w:val="WW8Num2z6"/>
    <w:link w:val="Style_26_ch"/>
  </w:style>
  <w:style w:styleId="Style_26_ch" w:type="character">
    <w:name w:val="WW8Num2z6"/>
    <w:link w:val="Style_26"/>
  </w:style>
  <w:style w:styleId="Style_27" w:type="paragraph">
    <w:name w:val="WW8Num2z8"/>
    <w:link w:val="Style_27_ch"/>
  </w:style>
  <w:style w:styleId="Style_27_ch" w:type="character">
    <w:name w:val="WW8Num2z8"/>
    <w:link w:val="Style_27"/>
  </w:style>
  <w:style w:styleId="Style_28" w:type="paragraph">
    <w:name w:val="WW8Num1z4"/>
    <w:link w:val="Style_28_ch"/>
  </w:style>
  <w:style w:styleId="Style_28_ch" w:type="character">
    <w:name w:val="WW8Num1z4"/>
    <w:link w:val="Style_28"/>
  </w:style>
  <w:style w:styleId="Style_29" w:type="paragraph">
    <w:name w:val="toc 3"/>
    <w:next w:val="Style_7"/>
    <w:link w:val="Style_2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9_ch" w:type="character">
    <w:name w:val="toc 3"/>
    <w:link w:val="Style_29"/>
    <w:rPr>
      <w:rFonts w:ascii="XO Thames" w:hAnsi="XO Thames"/>
      <w:sz w:val="28"/>
    </w:rPr>
  </w:style>
  <w:style w:styleId="Style_30" w:type="paragraph">
    <w:name w:val="Текст примечания Знак"/>
    <w:basedOn w:val="Style_14"/>
    <w:link w:val="Style_30_ch"/>
  </w:style>
  <w:style w:styleId="Style_30_ch" w:type="character">
    <w:name w:val="Текст примечания Знак"/>
    <w:basedOn w:val="Style_14_ch"/>
    <w:link w:val="Style_30"/>
  </w:style>
  <w:style w:styleId="Style_31" w:type="paragraph">
    <w:name w:val="Нижний колонтитул Знак"/>
    <w:basedOn w:val="Style_14"/>
    <w:link w:val="Style_31_ch"/>
  </w:style>
  <w:style w:styleId="Style_31_ch" w:type="character">
    <w:name w:val="Нижний колонтитул Знак"/>
    <w:basedOn w:val="Style_14_ch"/>
    <w:link w:val="Style_31"/>
  </w:style>
  <w:style w:styleId="Style_32" w:type="paragraph">
    <w:name w:val="WW8Num1z3"/>
    <w:link w:val="Style_32_ch"/>
  </w:style>
  <w:style w:styleId="Style_32_ch" w:type="character">
    <w:name w:val="WW8Num1z3"/>
    <w:link w:val="Style_32"/>
  </w:style>
  <w:style w:styleId="Style_33" w:type="paragraph">
    <w:name w:val="WW8Num1z5"/>
    <w:link w:val="Style_33_ch"/>
  </w:style>
  <w:style w:styleId="Style_33_ch" w:type="character">
    <w:name w:val="WW8Num1z5"/>
    <w:link w:val="Style_33"/>
  </w:style>
  <w:style w:styleId="Style_5" w:type="paragraph">
    <w:name w:val="paragraph"/>
    <w:basedOn w:val="Style_7"/>
    <w:link w:val="Style_5_ch"/>
  </w:style>
  <w:style w:styleId="Style_5_ch" w:type="character">
    <w:name w:val="paragraph"/>
    <w:basedOn w:val="Style_7_ch"/>
    <w:link w:val="Style_5"/>
  </w:style>
  <w:style w:styleId="Style_3" w:type="paragraph">
    <w:name w:val="normaltextrun1"/>
    <w:basedOn w:val="Style_14"/>
    <w:link w:val="Style_3_ch"/>
  </w:style>
  <w:style w:styleId="Style_3_ch" w:type="character">
    <w:name w:val="normaltextrun1"/>
    <w:basedOn w:val="Style_14_ch"/>
    <w:link w:val="Style_3"/>
  </w:style>
  <w:style w:styleId="Style_34" w:type="paragraph">
    <w:name w:val="Указатель"/>
    <w:basedOn w:val="Style_7"/>
    <w:link w:val="Style_34_ch"/>
  </w:style>
  <w:style w:styleId="Style_34_ch" w:type="character">
    <w:name w:val="Указатель"/>
    <w:basedOn w:val="Style_7_ch"/>
    <w:link w:val="Style_34"/>
  </w:style>
  <w:style w:styleId="Style_14" w:type="paragraph">
    <w:name w:val="Основной шрифт абзаца"/>
    <w:link w:val="Style_14_ch"/>
  </w:style>
  <w:style w:styleId="Style_14_ch" w:type="character">
    <w:name w:val="Основной шрифт абзаца"/>
    <w:link w:val="Style_14"/>
  </w:style>
  <w:style w:styleId="Style_35" w:type="paragraph">
    <w:name w:val="heading 5"/>
    <w:next w:val="Style_7"/>
    <w:link w:val="Style_3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36" w:type="paragraph">
    <w:name w:val="heading 1"/>
    <w:basedOn w:val="Style_7"/>
    <w:next w:val="Style_7"/>
    <w:link w:val="Style_36_ch"/>
    <w:uiPriority w:val="9"/>
    <w:qFormat/>
    <w:pPr>
      <w:keepNext w:val="1"/>
      <w:numPr>
        <w:ilvl w:val="0"/>
        <w:numId w:val="2"/>
      </w:numPr>
      <w:spacing w:line="302" w:lineRule="exact"/>
      <w:ind w:firstLine="0" w:left="1094" w:right="0"/>
      <w:outlineLvl w:val="0"/>
    </w:pPr>
    <w:rPr>
      <w:b w:val="1"/>
      <w:color w:val="000000"/>
      <w:spacing w:val="-4"/>
      <w:sz w:val="28"/>
    </w:rPr>
  </w:style>
  <w:style w:styleId="Style_36_ch" w:type="character">
    <w:name w:val="heading 1"/>
    <w:basedOn w:val="Style_7_ch"/>
    <w:link w:val="Style_36"/>
    <w:rPr>
      <w:b w:val="1"/>
      <w:color w:val="000000"/>
      <w:spacing w:val="-4"/>
      <w:sz w:val="28"/>
    </w:rPr>
  </w:style>
  <w:style w:styleId="Style_6" w:type="paragraph">
    <w:name w:val="Hyperlink"/>
    <w:link w:val="Style_6_ch"/>
    <w:rPr>
      <w:color w:val="0563C1"/>
      <w:u w:val="single"/>
    </w:rPr>
  </w:style>
  <w:style w:styleId="Style_6_ch" w:type="character">
    <w:name w:val="Hyperlink"/>
    <w:link w:val="Style_6"/>
    <w:rPr>
      <w:color w:val="0563C1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toc 1"/>
    <w:next w:val="Style_7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13" w:type="paragraph">
    <w:name w:val="Текст примечания"/>
    <w:basedOn w:val="Style_7"/>
    <w:link w:val="Style_13_ch"/>
  </w:style>
  <w:style w:styleId="Style_13_ch" w:type="character">
    <w:name w:val="Текст примечания"/>
    <w:basedOn w:val="Style_7_ch"/>
    <w:link w:val="Style_13"/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0"/>
    </w:rPr>
  </w:style>
  <w:style w:styleId="Style_39_ch" w:type="character">
    <w:name w:val="Header and Footer"/>
    <w:link w:val="Style_39"/>
    <w:rPr>
      <w:rFonts w:ascii="XO Thames" w:hAnsi="XO Thames"/>
      <w:sz w:val="20"/>
    </w:rPr>
  </w:style>
  <w:style w:styleId="Style_40" w:type="paragraph">
    <w:name w:val="WW8Num1z1"/>
    <w:link w:val="Style_40_ch"/>
  </w:style>
  <w:style w:styleId="Style_40_ch" w:type="character">
    <w:name w:val="WW8Num1z1"/>
    <w:link w:val="Style_40"/>
  </w:style>
  <w:style w:styleId="Style_41" w:type="paragraph">
    <w:name w:val="WW8Num2z0"/>
    <w:link w:val="Style_41_ch"/>
  </w:style>
  <w:style w:styleId="Style_41_ch" w:type="character">
    <w:name w:val="WW8Num2z0"/>
    <w:link w:val="Style_41"/>
  </w:style>
  <w:style w:styleId="Style_42" w:type="paragraph">
    <w:name w:val="Без интервала"/>
    <w:link w:val="Style_42_ch"/>
    <w:pPr>
      <w:widowControl w:val="1"/>
      <w:ind/>
    </w:pPr>
    <w:rPr>
      <w:rFonts w:ascii="Calibri" w:hAnsi="Calibri"/>
      <w:color w:val="000000"/>
      <w:sz w:val="22"/>
    </w:rPr>
  </w:style>
  <w:style w:styleId="Style_42_ch" w:type="character">
    <w:name w:val="Без интервала"/>
    <w:link w:val="Style_42"/>
    <w:rPr>
      <w:rFonts w:ascii="Calibri" w:hAnsi="Calibri"/>
      <w:color w:val="000000"/>
      <w:sz w:val="22"/>
    </w:rPr>
  </w:style>
  <w:style w:styleId="Style_43" w:type="paragraph">
    <w:name w:val="toc 9"/>
    <w:next w:val="Style_7"/>
    <w:link w:val="Style_4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3_ch" w:type="character">
    <w:name w:val="toc 9"/>
    <w:link w:val="Style_43"/>
    <w:rPr>
      <w:rFonts w:ascii="XO Thames" w:hAnsi="XO Thames"/>
      <w:sz w:val="28"/>
    </w:rPr>
  </w:style>
  <w:style w:styleId="Style_44" w:type="paragraph">
    <w:name w:val="caption"/>
    <w:basedOn w:val="Style_7"/>
    <w:link w:val="Style_44_ch"/>
    <w:pPr>
      <w:spacing w:after="120" w:before="120"/>
      <w:ind/>
    </w:pPr>
    <w:rPr>
      <w:i w:val="1"/>
      <w:sz w:val="24"/>
    </w:rPr>
  </w:style>
  <w:style w:styleId="Style_44_ch" w:type="character">
    <w:name w:val="caption"/>
    <w:basedOn w:val="Style_7_ch"/>
    <w:link w:val="Style_44"/>
    <w:rPr>
      <w:i w:val="1"/>
      <w:sz w:val="24"/>
    </w:rPr>
  </w:style>
  <w:style w:styleId="Style_45" w:type="paragraph">
    <w:name w:val="toc 8"/>
    <w:next w:val="Style_7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Знак примечания"/>
    <w:link w:val="Style_46_ch"/>
    <w:rPr>
      <w:sz w:val="16"/>
    </w:rPr>
  </w:style>
  <w:style w:styleId="Style_46_ch" w:type="character">
    <w:name w:val="Знак примечания"/>
    <w:link w:val="Style_46"/>
    <w:rPr>
      <w:sz w:val="16"/>
    </w:rPr>
  </w:style>
  <w:style w:styleId="Style_47" w:type="paragraph">
    <w:name w:val="Текст выноски"/>
    <w:basedOn w:val="Style_7"/>
    <w:link w:val="Style_47_ch"/>
    <w:rPr>
      <w:rFonts w:ascii="Tahoma" w:hAnsi="Tahoma"/>
      <w:sz w:val="16"/>
    </w:rPr>
  </w:style>
  <w:style w:styleId="Style_47_ch" w:type="character">
    <w:name w:val="Текст выноски"/>
    <w:basedOn w:val="Style_7_ch"/>
    <w:link w:val="Style_47"/>
    <w:rPr>
      <w:rFonts w:ascii="Tahoma" w:hAnsi="Tahoma"/>
      <w:sz w:val="16"/>
    </w:rPr>
  </w:style>
  <w:style w:styleId="Style_48" w:type="paragraph">
    <w:name w:val="toc 5"/>
    <w:next w:val="Style_7"/>
    <w:link w:val="Style_4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8_ch" w:type="character">
    <w:name w:val="toc 5"/>
    <w:link w:val="Style_48"/>
    <w:rPr>
      <w:rFonts w:ascii="XO Thames" w:hAnsi="XO Thames"/>
      <w:sz w:val="28"/>
    </w:rPr>
  </w:style>
  <w:style w:styleId="Style_49" w:type="paragraph">
    <w:name w:val="Содержимое врезки"/>
    <w:basedOn w:val="Style_7"/>
    <w:link w:val="Style_49_ch"/>
  </w:style>
  <w:style w:styleId="Style_49_ch" w:type="character">
    <w:name w:val="Содержимое врезки"/>
    <w:basedOn w:val="Style_7_ch"/>
    <w:link w:val="Style_49"/>
  </w:style>
  <w:style w:styleId="Style_50" w:type="paragraph">
    <w:name w:val="WW8Num1z6"/>
    <w:link w:val="Style_50_ch"/>
  </w:style>
  <w:style w:styleId="Style_50_ch" w:type="character">
    <w:name w:val="WW8Num1z6"/>
    <w:link w:val="Style_50"/>
  </w:style>
  <w:style w:styleId="Style_51" w:type="paragraph">
    <w:name w:val="Subtitle"/>
    <w:next w:val="Style_7"/>
    <w:link w:val="Style_5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1_ch" w:type="character">
    <w:name w:val="Subtitle"/>
    <w:link w:val="Style_51"/>
    <w:rPr>
      <w:rFonts w:ascii="XO Thames" w:hAnsi="XO Thames"/>
      <w:i w:val="1"/>
      <w:sz w:val="24"/>
    </w:rPr>
  </w:style>
  <w:style w:styleId="Style_52" w:type="paragraph">
    <w:name w:val="WW8Num1z0"/>
    <w:link w:val="Style_52_ch"/>
  </w:style>
  <w:style w:styleId="Style_52_ch" w:type="character">
    <w:name w:val="WW8Num1z0"/>
    <w:link w:val="Style_52"/>
  </w:style>
  <w:style w:styleId="Style_53" w:type="paragraph">
    <w:name w:val="Тема примечания Знак"/>
    <w:link w:val="Style_53_ch"/>
    <w:rPr>
      <w:b w:val="1"/>
    </w:rPr>
  </w:style>
  <w:style w:styleId="Style_53_ch" w:type="character">
    <w:name w:val="Тема примечания Знак"/>
    <w:link w:val="Style_53"/>
    <w:rPr>
      <w:b w:val="1"/>
    </w:rPr>
  </w:style>
  <w:style w:styleId="Style_54" w:type="paragraph">
    <w:name w:val="Title"/>
    <w:next w:val="Style_7"/>
    <w:link w:val="Style_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sz w:val="40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55" w:type="paragraph">
    <w:name w:val="heading 4"/>
    <w:next w:val="Style_7"/>
    <w:link w:val="Style_5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5_ch" w:type="character">
    <w:name w:val="heading 4"/>
    <w:link w:val="Style_55"/>
    <w:rPr>
      <w:rFonts w:ascii="XO Thames" w:hAnsi="XO Thames"/>
      <w:b w:val="1"/>
      <w:sz w:val="24"/>
    </w:rPr>
  </w:style>
  <w:style w:styleId="Style_56" w:type="paragraph">
    <w:name w:val="WW8Num1z2"/>
    <w:link w:val="Style_56_ch"/>
  </w:style>
  <w:style w:styleId="Style_56_ch" w:type="character">
    <w:name w:val="WW8Num1z2"/>
    <w:link w:val="Style_56"/>
  </w:style>
  <w:style w:styleId="Style_57" w:type="paragraph">
    <w:name w:val="WW8Num2z4"/>
    <w:link w:val="Style_57_ch"/>
  </w:style>
  <w:style w:styleId="Style_57_ch" w:type="character">
    <w:name w:val="WW8Num2z4"/>
    <w:link w:val="Style_57"/>
  </w:style>
  <w:style w:styleId="Style_58" w:type="paragraph">
    <w:name w:val="heading 2"/>
    <w:basedOn w:val="Style_7"/>
    <w:next w:val="Style_7"/>
    <w:link w:val="Style_58_ch"/>
    <w:uiPriority w:val="9"/>
    <w:qFormat/>
    <w:pPr>
      <w:keepNext w:val="1"/>
      <w:numPr>
        <w:ilvl w:val="1"/>
        <w:numId w:val="2"/>
      </w:numPr>
      <w:spacing w:line="302" w:lineRule="exact"/>
      <w:ind/>
      <w:jc w:val="center"/>
      <w:outlineLvl w:val="1"/>
    </w:pPr>
    <w:rPr>
      <w:b w:val="1"/>
      <w:caps w:val="1"/>
      <w:color w:val="000000"/>
      <w:spacing w:val="-7"/>
      <w:sz w:val="28"/>
    </w:rPr>
  </w:style>
  <w:style w:styleId="Style_58_ch" w:type="character">
    <w:name w:val="heading 2"/>
    <w:basedOn w:val="Style_7_ch"/>
    <w:link w:val="Style_58"/>
    <w:rPr>
      <w:b w:val="1"/>
      <w:caps w:val="1"/>
      <w:color w:val="000000"/>
      <w:spacing w:val="-7"/>
      <w:sz w:val="28"/>
    </w:rPr>
  </w:style>
  <w:style w:styleId="Style_59" w:type="paragraph">
    <w:name w:val="List"/>
    <w:basedOn w:val="Style_15"/>
    <w:link w:val="Style_59_ch"/>
  </w:style>
  <w:style w:styleId="Style_59_ch" w:type="character">
    <w:name w:val="List"/>
    <w:basedOn w:val="Style_15_ch"/>
    <w:link w:val="Style_59"/>
  </w:style>
  <w:style w:styleId="Style_60" w:type="paragraph">
    <w:name w:val="WW8Num2z7"/>
    <w:link w:val="Style_60_ch"/>
  </w:style>
  <w:style w:styleId="Style_60_ch" w:type="character">
    <w:name w:val="WW8Num2z7"/>
    <w:link w:val="Style_60"/>
  </w:style>
  <w:style w:styleId="Style_61" w:type="paragraph">
    <w:name w:val="WW8Num2z5"/>
    <w:link w:val="Style_61_ch"/>
  </w:style>
  <w:style w:styleId="Style_61_ch" w:type="character">
    <w:name w:val="WW8Num2z5"/>
    <w:link w:val="Style_61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numbering.xml" Type="http://schemas.openxmlformats.org/officeDocument/2006/relationships/numbering"/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footer4.xml" Type="http://schemas.openxmlformats.org/officeDocument/2006/relationships/footer"/>
  <Relationship Id="rId8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2024-02-13T09:11:11Z</dcterms:modified>
</cp:coreProperties>
</file>