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709"/>
        <w:jc w:val="center"/>
        <w:rPr>
          <w:b/>
          <w:b/>
          <w:sz w:val="28"/>
          <w:szCs w:val="28"/>
        </w:rPr>
      </w:pPr>
      <w:r>
        <w:rPr>
          <w:b/>
          <w:color w:val="auto"/>
          <w:sz w:val="28"/>
          <w:szCs w:val="28"/>
        </w:rPr>
        <w:t>Пояснительная записка</w:t>
      </w:r>
    </w:p>
    <w:p>
      <w:pPr>
        <w:pStyle w:val="Normal"/>
        <w:ind w:firstLine="709"/>
        <w:jc w:val="center"/>
        <w:rPr>
          <w:b/>
          <w:b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к разделу </w:t>
      </w:r>
      <w:r>
        <w:rPr>
          <w:b/>
          <w:color w:val="auto"/>
          <w:sz w:val="28"/>
          <w:szCs w:val="28"/>
          <w:lang w:val="en-US"/>
        </w:rPr>
        <w:t>IV</w:t>
      </w:r>
      <w:r>
        <w:rPr>
          <w:b/>
          <w:color w:val="auto"/>
          <w:sz w:val="28"/>
          <w:szCs w:val="28"/>
        </w:rPr>
        <w:t>. «Инвестиции»</w:t>
      </w:r>
    </w:p>
    <w:p>
      <w:pPr>
        <w:pStyle w:val="Normal"/>
        <w:ind w:firstLine="709"/>
        <w:jc w:val="center"/>
        <w:rPr>
          <w:color w:val="auto"/>
        </w:rPr>
      </w:pPr>
      <w:r>
        <w:rPr>
          <w:b/>
          <w:color w:val="auto"/>
          <w:sz w:val="28"/>
          <w:szCs w:val="28"/>
        </w:rPr>
        <w:t>прогноза социально – экономического развития на 2020-2022 годы</w:t>
      </w:r>
    </w:p>
    <w:p>
      <w:pPr>
        <w:pStyle w:val="Normal"/>
        <w:ind w:firstLine="709"/>
        <w:jc w:val="center"/>
        <w:rPr>
          <w:b/>
          <w:b/>
          <w:sz w:val="28"/>
          <w:szCs w:val="28"/>
        </w:rPr>
      </w:pPr>
      <w:r>
        <w:rPr>
          <w:b/>
          <w:color w:val="auto"/>
          <w:sz w:val="28"/>
          <w:szCs w:val="28"/>
        </w:rPr>
        <w:t>г. Донецка Ростовской области</w:t>
      </w:r>
    </w:p>
    <w:p>
      <w:pPr>
        <w:pStyle w:val="Normal"/>
        <w:ind w:firstLine="709"/>
        <w:jc w:val="center"/>
        <w:rPr>
          <w:color w:val="CE181E"/>
          <w:sz w:val="28"/>
          <w:szCs w:val="28"/>
        </w:rPr>
      </w:pPr>
      <w:r>
        <w:rPr>
          <w:color w:val="CE181E"/>
          <w:sz w:val="28"/>
          <w:szCs w:val="28"/>
        </w:rPr>
      </w:r>
    </w:p>
    <w:p>
      <w:pPr>
        <w:pStyle w:val="Normal"/>
        <w:ind w:firstLine="709"/>
        <w:jc w:val="both"/>
        <w:rPr>
          <w:color w:val="auto"/>
        </w:rPr>
      </w:pPr>
      <w:r>
        <w:rPr>
          <w:color w:val="auto"/>
          <w:sz w:val="28"/>
          <w:szCs w:val="28"/>
        </w:rPr>
        <w:t xml:space="preserve">Раздел инвестиции прогноза социально-экономического развития города Донецка Ростовской области на 2019 год и на период до 2022 года, разрабатывался на основе данных статистической отчетности и информации, представленной предприятиями города. </w:t>
      </w:r>
    </w:p>
    <w:p>
      <w:pPr>
        <w:pStyle w:val="Normal"/>
        <w:suppressAutoHyphens w:val="true"/>
        <w:ind w:firstLine="709"/>
        <w:jc w:val="both"/>
        <w:rPr>
          <w:sz w:val="28"/>
          <w:szCs w:val="20"/>
          <w:lang w:eastAsia="ar-SA"/>
        </w:rPr>
      </w:pPr>
      <w:r>
        <w:rPr>
          <w:color w:val="auto"/>
          <w:sz w:val="28"/>
          <w:szCs w:val="28"/>
          <w:lang w:eastAsia="ar-SA"/>
        </w:rPr>
        <w:t>Важным показателем развития города Донецка выступают инвестиции, которые являются залогом  успешного поступательного развития экономики.</w:t>
      </w:r>
    </w:p>
    <w:p>
      <w:pPr>
        <w:pStyle w:val="Normal"/>
        <w:ind w:firstLine="709"/>
        <w:jc w:val="both"/>
        <w:rPr>
          <w:color w:val="auto"/>
        </w:rPr>
      </w:pPr>
      <w:r>
        <w:rPr>
          <w:color w:val="auto"/>
          <w:sz w:val="28"/>
          <w:szCs w:val="28"/>
        </w:rPr>
        <w:t xml:space="preserve">В 2018 году объем инвестиций в основной капитал (по полному кругу предприятий, без учета данных по микропредприятиям и неформальной экономической деятельности) составил 946,124 млн. рублей, темп роста объема инвестиций в основной капитал – 222,2% (в 2017 году – 404,32 млн. рублей, темп роста объема инвестиций в основной капитал – </w:t>
      </w:r>
      <w:r>
        <w:rPr>
          <w:color w:val="auto"/>
          <w:sz w:val="28"/>
          <w:szCs w:val="28"/>
        </w:rPr>
        <w:t>87,4</w:t>
      </w:r>
      <w:r>
        <w:rPr>
          <w:color w:val="auto"/>
          <w:sz w:val="28"/>
          <w:szCs w:val="28"/>
        </w:rPr>
        <w:t>%).</w:t>
      </w:r>
    </w:p>
    <w:p>
      <w:pPr>
        <w:pStyle w:val="Normal"/>
        <w:ind w:firstLine="709"/>
        <w:jc w:val="both"/>
        <w:rPr>
          <w:color w:val="auto"/>
        </w:rPr>
      </w:pPr>
      <w:r>
        <w:rPr>
          <w:color w:val="auto"/>
          <w:sz w:val="28"/>
          <w:szCs w:val="28"/>
        </w:rPr>
        <w:t xml:space="preserve">Инвестиции в основной капитал без бюджетных средств по итогам 2018 года составили 295,525 млн. рублей (в 2017 году – 235,33 млн. рублей). Увеличение показателя в сравнении с 2017 годом на 60,195 млн. рублей обусловлено ростом объема инвестиций, направленных в сферу торговли. </w:t>
      </w:r>
    </w:p>
    <w:p>
      <w:pPr>
        <w:pStyle w:val="Normal"/>
        <w:ind w:firstLine="709"/>
        <w:jc w:val="both"/>
        <w:rPr>
          <w:color w:val="auto"/>
        </w:rPr>
      </w:pPr>
      <w:r>
        <w:rPr>
          <w:color w:val="auto"/>
          <w:sz w:val="28"/>
          <w:szCs w:val="28"/>
        </w:rPr>
        <w:t>В структуре инвестиций в основной капитал за счет всех источников финансирования в 2018 году учтены следующие основные предприятия: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- обрабатывающие производства: ОАО «Донецкая Мануфактура М» (текстильное и швейное производство), ООО «ДОНЭКС» (производство машин и оборудования);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- обеспечение электрической энергией, газом и паром; кондиционирование воздуха: </w:t>
      </w:r>
      <w:r>
        <w:rPr>
          <w:bCs/>
          <w:color w:val="auto"/>
          <w:sz w:val="28"/>
          <w:szCs w:val="28"/>
        </w:rPr>
        <w:t>филиал Донецкий ДОНЭНЕРГО КМЭС</w:t>
      </w:r>
      <w:r>
        <w:rPr>
          <w:color w:val="auto"/>
          <w:sz w:val="28"/>
          <w:szCs w:val="28"/>
        </w:rPr>
        <w:t xml:space="preserve"> (распределение света), </w:t>
      </w:r>
      <w:r>
        <w:rPr>
          <w:bCs/>
          <w:color w:val="auto"/>
          <w:sz w:val="28"/>
          <w:szCs w:val="28"/>
        </w:rPr>
        <w:t>филиал Донецкий район тепловых сетей ОАО «Донэнерго»</w:t>
      </w:r>
      <w:r>
        <w:rPr>
          <w:color w:val="auto"/>
          <w:sz w:val="28"/>
          <w:szCs w:val="28"/>
        </w:rPr>
        <w:t>, филиал ДОНЕЦГАЗСТРОЙ ОАО «Ростовоблгаз» (производство и распределение газа);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- водоснабжение; водоотведение, организация сбора и утилизация отходов, деятельность по ликвидации загрязнений - ОАО «Исток» (сбор, очистка и распределение воды);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- торговля оптовая и розничная; ремонт автотранспортных средств и мотоциклов: ЗАО «Тандер», ТД «Перекресток» (розничные торговые сети);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- деятельность в области информации и связи, деятельность финансовая и страховая, государственное управление и обеспечение военной безопасности; социальное обеспечение, образование, деятельность в области здравоохранения и социальных услуг, деятельность в области культуры, спорта, организации досуга и развлечений и предоставление прочих видов услуг – представлена в основном бюджетными организациями.</w:t>
      </w:r>
    </w:p>
    <w:p>
      <w:pPr>
        <w:pStyle w:val="Normal"/>
        <w:tabs>
          <w:tab w:val="clear" w:pos="245"/>
          <w:tab w:val="left" w:pos="1080" w:leader="none"/>
        </w:tabs>
        <w:suppressAutoHyphens w:val="true"/>
        <w:ind w:firstLine="709"/>
        <w:jc w:val="both"/>
        <w:rPr/>
      </w:pPr>
      <w:bookmarkStart w:id="0" w:name="__DdeLink__88_426146484611"/>
      <w:r>
        <w:rPr>
          <w:rStyle w:val="Eop"/>
          <w:color w:val="auto"/>
          <w:sz w:val="28"/>
          <w:szCs w:val="28"/>
          <w:lang w:eastAsia="ar-SA"/>
        </w:rPr>
        <w:t xml:space="preserve">За счет бюджетных средств в 2018 году начата </w:t>
      </w:r>
      <w:r>
        <w:rPr>
          <w:rStyle w:val="Eop"/>
          <w:bCs/>
          <w:color w:val="auto"/>
          <w:sz w:val="28"/>
          <w:szCs w:val="28"/>
          <w:lang w:eastAsia="ar-SA"/>
        </w:rPr>
        <w:t>реализация объекта «Мероприятия по обеспечению устойчивого водоснабжения и водоотведения инвестиционных площадок города Донецка Ростовской области (инвестиционная площадка № 2) 2</w:t>
      </w:r>
      <w:bookmarkStart w:id="1" w:name="__DdeLink__7093_89796968811"/>
      <w:r>
        <w:rPr>
          <w:rStyle w:val="Eop"/>
          <w:bCs/>
          <w:color w:val="auto"/>
          <w:sz w:val="28"/>
          <w:szCs w:val="28"/>
          <w:lang w:eastAsia="ar-SA"/>
        </w:rPr>
        <w:t xml:space="preserve"> этап - строительство сетей и сооружений</w:t>
      </w:r>
      <w:bookmarkEnd w:id="1"/>
      <w:r>
        <w:rPr>
          <w:rStyle w:val="Eop"/>
          <w:bCs/>
          <w:color w:val="auto"/>
          <w:sz w:val="28"/>
          <w:szCs w:val="28"/>
          <w:lang w:eastAsia="ar-SA"/>
        </w:rPr>
        <w:t xml:space="preserve"> (объем инвестиций на 2018  составил 35 млн. рублей)  и 3 этап – строительство сооружений водоподготовки производительностью 12 тыс.м3/сут. (объем инвестиций на 2018 год - 135,3 млн. рублей</w:t>
      </w:r>
      <w:bookmarkEnd w:id="0"/>
      <w:r>
        <w:rPr>
          <w:rStyle w:val="Eop"/>
          <w:bCs/>
          <w:color w:val="auto"/>
          <w:sz w:val="28"/>
          <w:szCs w:val="28"/>
          <w:lang w:eastAsia="ar-SA"/>
        </w:rPr>
        <w:t>).</w:t>
      </w:r>
    </w:p>
    <w:p>
      <w:pPr>
        <w:pStyle w:val="Normal"/>
        <w:ind w:firstLine="709"/>
        <w:jc w:val="both"/>
        <w:rPr/>
      </w:pPr>
      <w:r>
        <w:rPr>
          <w:color w:val="auto"/>
          <w:sz w:val="28"/>
          <w:szCs w:val="28"/>
        </w:rPr>
        <w:t xml:space="preserve">В 2018 году завершено строительство </w:t>
      </w:r>
      <w:r>
        <w:rPr>
          <w:color w:val="auto"/>
          <w:sz w:val="28"/>
          <w:szCs w:val="28"/>
          <w:lang w:val="ru-RU"/>
        </w:rPr>
        <w:t xml:space="preserve"> муниципального бюджетного общеобразовательного </w:t>
      </w:r>
      <w:r>
        <w:rPr>
          <w:color w:val="auto"/>
          <w:sz w:val="28"/>
          <w:szCs w:val="28"/>
          <w:lang w:val="ru-RU"/>
        </w:rPr>
        <w:t xml:space="preserve">учреждения на 600 мест в г. Донецке» (объем инвестиций - </w:t>
      </w:r>
      <w:r>
        <w:rPr>
          <w:rStyle w:val="Eop"/>
          <w:color w:val="auto"/>
          <w:sz w:val="28"/>
          <w:szCs w:val="28"/>
          <w:lang w:val="ru-RU"/>
        </w:rPr>
        <w:t xml:space="preserve">339,3 млн. рублей), </w:t>
      </w:r>
      <w:hyperlink r:id="rId2">
        <w:r>
          <w:rPr>
            <w:rStyle w:val="Style15"/>
            <w:color w:val="auto"/>
            <w:sz w:val="28"/>
            <w:szCs w:val="28"/>
            <w:u w:val="none"/>
            <w:shd w:fill="FFFFFF" w:val="clear"/>
            <w:lang w:val="ru-RU"/>
          </w:rPr>
          <w:t>автодороги в квартале малоэтажной застройки, ограниченной улицами Александра Кулешова, Городская, Буденовская</w:t>
        </w:r>
        <w:r>
          <w:rPr>
            <w:rStyle w:val="Style15"/>
            <w:color w:val="auto"/>
            <w:sz w:val="28"/>
            <w:szCs w:val="28"/>
            <w:u w:val="none"/>
            <w:shd w:fill="FFFFFF" w:val="clear"/>
          </w:rPr>
          <w:t> </w:t>
        </w:r>
      </w:hyperlink>
      <w:r>
        <w:rPr>
          <w:color w:val="auto"/>
          <w:sz w:val="28"/>
          <w:szCs w:val="28"/>
          <w:u w:val="none"/>
          <w:shd w:fill="FFFFFF" w:val="clear"/>
        </w:rPr>
        <w:t>(объем инвестиций (</w:t>
      </w:r>
      <w:r>
        <w:rPr>
          <w:rStyle w:val="Eop"/>
          <w:color w:val="auto"/>
          <w:sz w:val="28"/>
          <w:szCs w:val="28"/>
        </w:rPr>
        <w:t xml:space="preserve">42,3 млн. рублей), </w:t>
      </w:r>
      <w:r>
        <w:rPr>
          <w:rStyle w:val="Eop"/>
          <w:bCs/>
          <w:color w:val="auto"/>
          <w:sz w:val="28"/>
          <w:szCs w:val="28"/>
          <w:lang w:eastAsia="ar-SA"/>
        </w:rPr>
        <w:t>благоустройство дворовых территории многоквартирных домов (объем инвестиций на 2018 год - 24,4 млн. рублей).</w:t>
      </w:r>
    </w:p>
    <w:p>
      <w:pPr>
        <w:pStyle w:val="Normal"/>
        <w:ind w:firstLine="709"/>
        <w:jc w:val="both"/>
        <w:rPr/>
      </w:pPr>
      <w:r>
        <w:rPr>
          <w:rStyle w:val="Eop"/>
          <w:bCs/>
          <w:color w:val="auto"/>
          <w:sz w:val="28"/>
          <w:szCs w:val="28"/>
          <w:lang w:val="ru-RU" w:eastAsia="ar-SA"/>
        </w:rPr>
        <w:t xml:space="preserve">В 2018 году ОАО «Донецкая Мануфактура М» реализовала проект «Модернизация ткацкого производства ОАО «Донецкая Мануфактура М». Объем инвестиций составил 147,3 млн. рублей. В ходе реализации проекта произведена замена 12 единиц ткацких рапирных жаккардовых станков </w:t>
      </w:r>
      <w:r>
        <w:rPr>
          <w:rStyle w:val="Eop"/>
          <w:bCs/>
          <w:color w:val="auto"/>
          <w:sz w:val="28"/>
          <w:szCs w:val="28"/>
          <w:lang w:val="en-US" w:eastAsia="ar-SA"/>
        </w:rPr>
        <w:t>G</w:t>
      </w:r>
      <w:r>
        <w:rPr>
          <w:rStyle w:val="Eop"/>
          <w:bCs/>
          <w:color w:val="auto"/>
          <w:sz w:val="28"/>
          <w:szCs w:val="28"/>
          <w:lang w:val="ru-RU" w:eastAsia="ar-SA"/>
        </w:rPr>
        <w:t xml:space="preserve">6300 фирмы </w:t>
      </w:r>
      <w:r>
        <w:rPr>
          <w:rStyle w:val="Eop"/>
          <w:bCs/>
          <w:color w:val="auto"/>
          <w:sz w:val="28"/>
          <w:szCs w:val="28"/>
          <w:lang w:eastAsia="ar-SA"/>
        </w:rPr>
        <w:t>Sulzer</w:t>
      </w:r>
      <w:r>
        <w:rPr>
          <w:rStyle w:val="Eop"/>
          <w:bCs/>
          <w:color w:val="auto"/>
          <w:sz w:val="28"/>
          <w:szCs w:val="28"/>
          <w:lang w:val="ru-RU" w:eastAsia="ar-SA"/>
        </w:rPr>
        <w:t xml:space="preserve"> </w:t>
      </w:r>
      <w:r>
        <w:rPr>
          <w:rStyle w:val="Eop"/>
          <w:bCs/>
          <w:color w:val="auto"/>
          <w:sz w:val="28"/>
          <w:szCs w:val="28"/>
          <w:lang w:eastAsia="ar-SA"/>
        </w:rPr>
        <w:t>Te</w:t>
      </w:r>
      <w:r>
        <w:rPr>
          <w:rStyle w:val="Eop"/>
          <w:bCs/>
          <w:color w:val="auto"/>
          <w:sz w:val="28"/>
          <w:szCs w:val="28"/>
          <w:lang w:val="en-US" w:eastAsia="ar-SA"/>
        </w:rPr>
        <w:t>xt</w:t>
      </w:r>
      <w:r>
        <w:rPr>
          <w:rStyle w:val="Eop"/>
          <w:bCs/>
          <w:color w:val="auto"/>
          <w:sz w:val="28"/>
          <w:szCs w:val="28"/>
          <w:lang w:eastAsia="ar-SA"/>
        </w:rPr>
        <w:t>ile</w:t>
      </w:r>
      <w:r>
        <w:rPr>
          <w:rStyle w:val="Eop"/>
          <w:bCs/>
          <w:color w:val="auto"/>
          <w:sz w:val="28"/>
          <w:szCs w:val="28"/>
          <w:lang w:val="ru-RU" w:eastAsia="ar-SA"/>
        </w:rPr>
        <w:t xml:space="preserve"> на 12 единиц более производительных ткацких пневматических  станков, также оборудованных усовершенствованными жаккардовыми машинами. Увеличение выпуска тканого полуфабриката составляет около 40тн/месяц (на комплект из 12 станков), от ранее достигнутого. Суммарные производственные ткацкие мощности составляют порядка 500 тн/месяц, в эквиваленте готовой продукции. Прирост ткацких мощностей составляет около 10% от существующих. </w:t>
      </w:r>
    </w:p>
    <w:p>
      <w:pPr>
        <w:pStyle w:val="Normal"/>
        <w:tabs>
          <w:tab w:val="clear" w:pos="245"/>
          <w:tab w:val="left" w:pos="1080" w:leader="none"/>
        </w:tabs>
        <w:suppressAutoHyphens w:val="true"/>
        <w:ind w:firstLine="709"/>
        <w:jc w:val="both"/>
        <w:rPr>
          <w:color w:val="auto"/>
        </w:rPr>
      </w:pPr>
      <w:bookmarkStart w:id="2" w:name="__DdeLink__88_4261464846"/>
      <w:r>
        <w:rPr>
          <w:color w:val="auto"/>
          <w:sz w:val="28"/>
          <w:szCs w:val="28"/>
          <w:lang w:eastAsia="ar-SA"/>
        </w:rPr>
        <w:t xml:space="preserve">За счет бюджетных средств в 2019 - 2020  годах </w:t>
      </w:r>
      <w:r>
        <w:rPr>
          <w:bCs/>
          <w:color w:val="auto"/>
          <w:sz w:val="28"/>
          <w:szCs w:val="28"/>
          <w:lang w:eastAsia="ar-SA"/>
        </w:rPr>
        <w:t>продолжится реализация объекта «Мероприятия по обеспечению устойчивого водоснабжения и водоотведения инвестиционных площадок города Донецка Ростовской области (инвестиционная площадка № 2) 2</w:t>
      </w:r>
      <w:bookmarkStart w:id="3" w:name="__DdeLink__7093_897969688"/>
      <w:r>
        <w:rPr>
          <w:bCs/>
          <w:color w:val="auto"/>
          <w:sz w:val="28"/>
          <w:szCs w:val="28"/>
          <w:lang w:eastAsia="ar-SA"/>
        </w:rPr>
        <w:t xml:space="preserve"> этап - строительство сетей и сооружений</w:t>
      </w:r>
      <w:bookmarkEnd w:id="3"/>
      <w:r>
        <w:rPr>
          <w:bCs/>
          <w:color w:val="auto"/>
          <w:sz w:val="28"/>
          <w:szCs w:val="28"/>
          <w:lang w:eastAsia="ar-SA"/>
        </w:rPr>
        <w:t xml:space="preserve"> (объем инвестиций на 2019 год - 147,87 млн. рублей, на 2020 год - 159,24 млн. рублей) и 3 этап – строительство сооружений водоподготовки производительностью 12 тыс.м3/сут. (объем инвестиций на 2019 год - 167,22 млн. рублей, на 2020 год - 246,92 млн. рублей</w:t>
      </w:r>
      <w:bookmarkEnd w:id="2"/>
      <w:r>
        <w:rPr>
          <w:bCs/>
          <w:color w:val="auto"/>
          <w:sz w:val="28"/>
          <w:szCs w:val="28"/>
          <w:lang w:eastAsia="ar-SA"/>
        </w:rPr>
        <w:t>),</w:t>
      </w:r>
      <w:r>
        <w:rPr>
          <w:b w:val="false"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eastAsia="ar-SA"/>
        </w:rPr>
        <w:t xml:space="preserve"> б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eastAsia="ar-SA"/>
        </w:rPr>
        <w:t>лагоустройство общественных территорий Ростовской области (объем инвестиций в 2019 году- 51,12 млн. рублей, а также ранее начатого инвестиционного проекта за счет собственных средств ОАО «Донецкая мануфактура М» (объем инвестиций на 2019 год - 99,318 млн. рублей).</w:t>
      </w:r>
    </w:p>
    <w:p>
      <w:pPr>
        <w:pStyle w:val="Normal"/>
        <w:tabs>
          <w:tab w:val="clear" w:pos="245"/>
          <w:tab w:val="left" w:pos="1080" w:leader="none"/>
        </w:tabs>
        <w:suppressAutoHyphens w:val="tru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color w:val="auto"/>
          <w:sz w:val="28"/>
          <w:szCs w:val="28"/>
          <w:lang w:val="ru-RU"/>
        </w:rPr>
        <w:t xml:space="preserve">В 2019 году началась реализация второго инвестиционного проекта «Модернизация производственных мощностей красильного и швейного производств ОАО «Донецкая Мануфактура М». </w:t>
      </w:r>
    </w:p>
    <w:p>
      <w:pPr>
        <w:pStyle w:val="Normal"/>
        <w:tabs>
          <w:tab w:val="clear" w:pos="245"/>
          <w:tab w:val="left" w:pos="1080" w:leader="none"/>
        </w:tabs>
        <w:suppressAutoHyphens w:val="tru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color w:val="auto"/>
          <w:sz w:val="28"/>
          <w:szCs w:val="28"/>
          <w:lang w:val="ru-RU"/>
        </w:rPr>
        <w:t>На сегодняшний день реализован первый этап проекта. Для обеспечения полной переработки отделанного полуфабриката, установлена линия швейного оборудования:</w:t>
      </w:r>
    </w:p>
    <w:p>
      <w:pPr>
        <w:pStyle w:val="Normal"/>
        <w:widowControl/>
        <w:tabs>
          <w:tab w:val="clear" w:pos="245"/>
          <w:tab w:val="left" w:pos="735" w:leader="none"/>
        </w:tabs>
        <w:suppressAutoHyphens w:val="true"/>
        <w:bidi w:val="0"/>
        <w:spacing w:lineRule="auto" w:line="240" w:before="0" w:after="0"/>
        <w:ind w:left="0" w:right="0" w:firstLine="57"/>
        <w:jc w:val="both"/>
        <w:rPr>
          <w:rFonts w:ascii="Times New Roman" w:hAnsi="Times New Roman"/>
          <w:sz w:val="28"/>
          <w:szCs w:val="28"/>
        </w:rPr>
      </w:pPr>
      <w:r>
        <w:rPr>
          <w:color w:val="auto"/>
          <w:sz w:val="28"/>
          <w:szCs w:val="28"/>
          <w:lang w:val="ru-RU"/>
        </w:rPr>
        <w:t>- 1 единица автоматическая машина продольной подшивки полотен махровых тканей;</w:t>
      </w:r>
    </w:p>
    <w:p>
      <w:pPr>
        <w:pStyle w:val="Normal"/>
        <w:widowControl/>
        <w:tabs>
          <w:tab w:val="clear" w:pos="245"/>
          <w:tab w:val="left" w:pos="735" w:leader="none"/>
        </w:tabs>
        <w:suppressAutoHyphens w:val="true"/>
        <w:bidi w:val="0"/>
        <w:spacing w:lineRule="auto" w:line="240" w:before="0" w:after="0"/>
        <w:ind w:left="0" w:right="0" w:firstLine="57"/>
        <w:jc w:val="both"/>
        <w:rPr>
          <w:rFonts w:ascii="Times New Roman" w:hAnsi="Times New Roman"/>
          <w:sz w:val="28"/>
          <w:szCs w:val="28"/>
        </w:rPr>
      </w:pPr>
      <w:r>
        <w:rPr>
          <w:color w:val="auto"/>
          <w:sz w:val="28"/>
          <w:szCs w:val="28"/>
          <w:lang w:val="ru-RU"/>
        </w:rPr>
        <w:t>- 1 единица автоматическая машина поперечной подшивки полотен махровых тканей.</w:t>
      </w:r>
    </w:p>
    <w:p>
      <w:pPr>
        <w:pStyle w:val="Normal"/>
        <w:widowControl/>
        <w:tabs>
          <w:tab w:val="clear" w:pos="245"/>
          <w:tab w:val="left" w:pos="735" w:leader="none"/>
        </w:tabs>
        <w:suppressAutoHyphens w:val="true"/>
        <w:bidi w:val="0"/>
        <w:spacing w:lineRule="auto" w:line="240" w:before="0" w:after="0"/>
        <w:ind w:left="0" w:right="0" w:firstLine="57"/>
        <w:jc w:val="both"/>
        <w:rPr>
          <w:rFonts w:ascii="Times New Roman" w:hAnsi="Times New Roman"/>
          <w:sz w:val="28"/>
          <w:szCs w:val="28"/>
        </w:rPr>
      </w:pPr>
      <w:r>
        <w:rPr>
          <w:color w:val="auto"/>
          <w:sz w:val="28"/>
          <w:szCs w:val="28"/>
          <w:lang w:val="ru-RU"/>
        </w:rPr>
        <w:tab/>
        <w:t>Второй этап проекта состоит:</w:t>
      </w:r>
    </w:p>
    <w:p>
      <w:pPr>
        <w:pStyle w:val="Normal"/>
        <w:widowControl/>
        <w:tabs>
          <w:tab w:val="clear" w:pos="245"/>
          <w:tab w:val="left" w:pos="735" w:leader="none"/>
        </w:tabs>
        <w:suppressAutoHyphens w:val="true"/>
        <w:bidi w:val="0"/>
        <w:spacing w:lineRule="auto" w:line="240" w:before="0" w:after="0"/>
        <w:ind w:left="0" w:right="0" w:firstLine="57"/>
        <w:jc w:val="both"/>
        <w:rPr>
          <w:rFonts w:ascii="Times New Roman" w:hAnsi="Times New Roman"/>
          <w:sz w:val="28"/>
          <w:szCs w:val="28"/>
        </w:rPr>
      </w:pPr>
      <w:r>
        <w:rPr>
          <w:color w:val="auto"/>
          <w:sz w:val="28"/>
          <w:szCs w:val="28"/>
          <w:lang w:val="ru-RU"/>
        </w:rPr>
        <w:t>- установка стригальной машины для стрижки ворса махрового полотна;</w:t>
      </w:r>
    </w:p>
    <w:p>
      <w:pPr>
        <w:pStyle w:val="Normal"/>
        <w:widowControl/>
        <w:tabs>
          <w:tab w:val="clear" w:pos="245"/>
          <w:tab w:val="left" w:pos="735" w:leader="none"/>
        </w:tabs>
        <w:suppressAutoHyphens w:val="true"/>
        <w:bidi w:val="0"/>
        <w:spacing w:lineRule="auto" w:line="240" w:before="0" w:after="0"/>
        <w:ind w:left="0" w:right="0" w:firstLine="57"/>
        <w:jc w:val="both"/>
        <w:rPr>
          <w:rFonts w:ascii="Times New Roman" w:hAnsi="Times New Roman"/>
          <w:sz w:val="28"/>
          <w:szCs w:val="28"/>
        </w:rPr>
      </w:pPr>
      <w:r>
        <w:rPr>
          <w:color w:val="auto"/>
          <w:sz w:val="28"/>
          <w:szCs w:val="28"/>
          <w:lang w:val="ru-RU"/>
        </w:rPr>
        <w:t>- установка 1 единицы ткане-красильного аппарата, с загрузкой 1000 кг, для отделки дополнительного объема суровой тканой продукции.</w:t>
      </w:r>
    </w:p>
    <w:p>
      <w:pPr>
        <w:pStyle w:val="Normal"/>
        <w:tabs>
          <w:tab w:val="clear" w:pos="245"/>
          <w:tab w:val="left" w:pos="1080" w:leader="none"/>
        </w:tabs>
        <w:suppressAutoHyphens w:val="tru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color w:val="auto"/>
          <w:sz w:val="28"/>
          <w:szCs w:val="28"/>
          <w:lang w:val="ru-RU"/>
        </w:rPr>
        <w:t xml:space="preserve">Приобретение стригальной машины, ткане-красильного и швейного оборудования позволит обеспечить полную сопряженность технологического цикла производственной площадки при увеличении выпуска производственных мощностей ткацкого производства, изменение структуры ассортимента в рамках более востребованного ассортимента и росте объемов производства готовой продукции. </w:t>
      </w:r>
    </w:p>
    <w:p>
      <w:pPr>
        <w:pStyle w:val="Normal"/>
        <w:tabs>
          <w:tab w:val="clear" w:pos="245"/>
          <w:tab w:val="left" w:pos="1080" w:leader="none"/>
        </w:tabs>
        <w:suppressAutoHyphens w:val="tru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b w:val="false"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/>
        </w:rPr>
        <w:t>В 2019 году планируется создание 4 высокопроизводительных рабочих места.</w:t>
      </w:r>
    </w:p>
    <w:p>
      <w:pPr>
        <w:pStyle w:val="Normal"/>
        <w:tabs>
          <w:tab w:val="clear" w:pos="245"/>
          <w:tab w:val="left" w:pos="1080" w:leader="none"/>
        </w:tabs>
        <w:suppressAutoHyphens w:val="true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  <w:lang w:eastAsia="ar-SA"/>
        </w:rPr>
        <w:t>Постановлением Правительства Российской Федерации от 16.03.2018 № 280 «О создании территории опережающего социально-экономического развития «Донецк» городу Донецку присвоен статус – территория опережающего социально-экономического развития.</w:t>
      </w:r>
    </w:p>
    <w:p>
      <w:pPr>
        <w:pStyle w:val="Normal"/>
        <w:tabs>
          <w:tab w:val="clear" w:pos="245"/>
          <w:tab w:val="left" w:pos="1080" w:leader="none"/>
        </w:tabs>
        <w:suppressAutoHyphens w:val="true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  <w:lang w:eastAsia="ar-SA"/>
        </w:rPr>
        <w:t>В декабре 2018 года   ООО «АГРОФИРМА  «ДОНЕЦКАЯ ДОЛИНА» получило статус резидента ТОСЭР «Донецк», с 2019 года начало реализацию инвестиционного проекта «Питомник плодовых деревьев». Объем инвестиций на 2019 год составляет  13,1 млн. рублей, на 2020 год - 10 млн. рублей, на 2021 год - 12,5 млн. рублей. За 5 месяцев текущего года предприятием освоено 2,75 млн. рублей.</w:t>
      </w:r>
    </w:p>
    <w:p>
      <w:pPr>
        <w:pStyle w:val="Normal"/>
        <w:tabs>
          <w:tab w:val="clear" w:pos="245"/>
          <w:tab w:val="left" w:pos="1080" w:leader="none"/>
        </w:tabs>
        <w:suppressAutoHyphens w:val="true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  <w:lang w:eastAsia="ar-SA"/>
        </w:rPr>
        <w:t>На территории города Донецка предварительно, с учетом сроков получения статуса резидентов территории опережающего социально-экономического развития рассматривается возможность начала реализации инвестиционных проектов:</w:t>
      </w:r>
    </w:p>
    <w:p>
      <w:pPr>
        <w:pStyle w:val="Style18"/>
        <w:spacing w:lineRule="auto" w:line="240" w:before="0" w:after="0"/>
        <w:jc w:val="both"/>
        <w:rPr>
          <w:color w:val="auto"/>
        </w:rPr>
      </w:pPr>
      <w:r>
        <w:rPr>
          <w:color w:val="auto"/>
          <w:sz w:val="28"/>
          <w:szCs w:val="28"/>
          <w:lang w:eastAsia="ar-SA"/>
        </w:rPr>
        <w:tab/>
        <w:tab/>
        <w:tab/>
        <w:t xml:space="preserve">- </w:t>
      </w:r>
      <w:r>
        <w:rPr>
          <w:color w:val="auto"/>
          <w:sz w:val="28"/>
          <w:szCs w:val="28"/>
          <w:lang w:eastAsia="ar-SA"/>
        </w:rPr>
        <w:t>Создание предприятия по производству детских развивающих настольных игр, головоломок, книг-игрушек на территории города Донецка» (инициатор проекта - ООО «Аль Пако»). Планируемый объем инвестиций на 2019 год - 19,415 млн. рублей, на 2020 год - 48 млн. рублей.</w:t>
      </w:r>
    </w:p>
    <w:p>
      <w:pPr>
        <w:pStyle w:val="Normal"/>
        <w:tabs>
          <w:tab w:val="clear" w:pos="245"/>
          <w:tab w:val="left" w:pos="1080" w:leader="none"/>
        </w:tabs>
        <w:suppressAutoHyphens w:val="true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eastAsia="ar-SA"/>
        </w:rPr>
        <w:t xml:space="preserve">- </w:t>
      </w:r>
      <w:r>
        <w:rPr>
          <w:color w:val="auto"/>
          <w:sz w:val="28"/>
          <w:szCs w:val="28"/>
          <w:lang w:eastAsia="ar-SA"/>
        </w:rPr>
        <w:t xml:space="preserve">Строительство тепличного комплекса площадью 25 га для круглогодичного производства овощной продукции (инициатор проекта - ООО «ПМТ»). </w:t>
      </w:r>
      <w:r>
        <w:rPr>
          <w:color w:val="auto"/>
          <w:sz w:val="28"/>
          <w:szCs w:val="28"/>
          <w:lang w:eastAsia="ar-SA"/>
        </w:rPr>
        <w:t>Планируемый объем инвестиций на 2019 год - 50 млн. рублей, н</w:t>
      </w:r>
      <w:bookmarkStart w:id="4" w:name="__DdeLink__1289_897969688"/>
      <w:r>
        <w:rPr>
          <w:color w:val="auto"/>
          <w:sz w:val="28"/>
          <w:szCs w:val="28"/>
          <w:lang w:eastAsia="ar-SA"/>
        </w:rPr>
        <w:t>а 2020 год - 500 млн. рублей</w:t>
      </w:r>
      <w:bookmarkEnd w:id="4"/>
      <w:r>
        <w:rPr>
          <w:color w:val="auto"/>
          <w:sz w:val="28"/>
          <w:szCs w:val="28"/>
          <w:lang w:eastAsia="ar-SA"/>
        </w:rPr>
        <w:t>, на 2021 год - 150 млн. рублей, на 2022 год - 150 млн. рублей.</w:t>
      </w:r>
    </w:p>
    <w:p>
      <w:pPr>
        <w:pStyle w:val="Normal"/>
        <w:tabs>
          <w:tab w:val="clear" w:pos="245"/>
          <w:tab w:val="left" w:pos="1080" w:leader="none"/>
        </w:tabs>
        <w:suppressAutoHyphens w:val="true"/>
        <w:ind w:firstLine="709"/>
        <w:jc w:val="both"/>
        <w:rPr>
          <w:color w:val="auto"/>
        </w:rPr>
      </w:pPr>
      <w:r>
        <w:rPr>
          <w:color w:val="auto"/>
          <w:sz w:val="28"/>
          <w:szCs w:val="28"/>
          <w:lang w:eastAsia="ar-SA"/>
        </w:rPr>
        <w:t>- Производство алюминиевой клипсы (инициатор проекта - ООО  «Донклип»). Планируемый объем инвестиций на 2020 год - 8,7 млн. рублей.</w:t>
      </w:r>
    </w:p>
    <w:p>
      <w:pPr>
        <w:pStyle w:val="Normal"/>
        <w:tabs>
          <w:tab w:val="clear" w:pos="245"/>
          <w:tab w:val="left" w:pos="1080" w:leader="none"/>
        </w:tabs>
        <w:suppressAutoHyphens w:val="true"/>
        <w:ind w:firstLine="709"/>
        <w:jc w:val="both"/>
        <w:rPr>
          <w:color w:val="auto"/>
        </w:rPr>
      </w:pPr>
      <w:r>
        <w:rPr>
          <w:color w:val="auto"/>
          <w:sz w:val="28"/>
          <w:szCs w:val="28"/>
          <w:lang w:eastAsia="ar-SA"/>
        </w:rPr>
        <w:t xml:space="preserve">- </w:t>
      </w:r>
      <w:r>
        <w:rPr>
          <w:color w:val="auto"/>
          <w:sz w:val="28"/>
          <w:szCs w:val="28"/>
          <w:lang w:eastAsia="ar-SA"/>
        </w:rPr>
        <w:t>Строительство завода по производству битумных смесей (инициатор проекта -ООО «ПолимерБитум»). П</w:t>
      </w:r>
      <w:r>
        <w:rPr>
          <w:color w:val="auto"/>
          <w:sz w:val="28"/>
          <w:szCs w:val="28"/>
          <w:lang w:eastAsia="ar-SA"/>
        </w:rPr>
        <w:t>ланируемый объем инвестиций на 2021 год- 2022 годы составит около  50 млн. рублей.</w:t>
      </w:r>
    </w:p>
    <w:p>
      <w:pPr>
        <w:pStyle w:val="Normal"/>
        <w:widowControl/>
        <w:ind w:firstLine="709"/>
        <w:jc w:val="both"/>
        <w:rPr>
          <w:color w:val="auto"/>
        </w:rPr>
      </w:pPr>
      <w:r>
        <w:rPr>
          <w:color w:val="auto"/>
          <w:sz w:val="28"/>
          <w:szCs w:val="28"/>
        </w:rPr>
        <w:t xml:space="preserve">Администрацией города Донецка организовано активное продвижение информации о возможностях ТОСЭР «Донецк», о преференциях, предусмотренных для  потенциальных резидентов. </w:t>
      </w:r>
    </w:p>
    <w:p>
      <w:pPr>
        <w:pStyle w:val="Normal"/>
        <w:widowControl/>
        <w:ind w:firstLine="709"/>
        <w:jc w:val="both"/>
        <w:rPr>
          <w:color w:val="CE181E"/>
        </w:rPr>
      </w:pPr>
      <w:r>
        <w:rPr>
          <w:color w:val="auto"/>
          <w:sz w:val="28"/>
          <w:szCs w:val="28"/>
        </w:rPr>
        <w:t>Информация о ТОСЭР «Донецк» размещена на официальных сайтах Правительства Ростовской области, минэкономразвития области (с вынесением баннера «ТОР Донецк» на главную страницу), Администрации города  Донецка. Информационные материалы содержат нормативные акты и справочную информацию для инвесторов, а также  проиллюстрированы слайдами.</w:t>
      </w:r>
    </w:p>
    <w:p>
      <w:pPr>
        <w:pStyle w:val="Normal"/>
        <w:widowControl/>
        <w:tabs>
          <w:tab w:val="clear" w:pos="245"/>
          <w:tab w:val="left" w:pos="1080" w:leader="none"/>
        </w:tabs>
        <w:suppressAutoHyphens w:val="true"/>
        <w:ind w:firstLine="709"/>
        <w:jc w:val="both"/>
        <w:rPr>
          <w:color w:val="auto"/>
        </w:rPr>
      </w:pPr>
      <w:r>
        <w:rPr>
          <w:color w:val="auto"/>
          <w:sz w:val="28"/>
          <w:szCs w:val="28"/>
          <w:lang w:eastAsia="ar-SA"/>
        </w:rPr>
        <w:t>Администрацией города Донецка разработан и размещен на въезде в город баннер, информирующий о присвоении городу статуса ТОСЭР и налоговых льготах для инвесторов.</w:t>
      </w:r>
    </w:p>
    <w:p>
      <w:pPr>
        <w:pStyle w:val="Normal"/>
        <w:tabs>
          <w:tab w:val="clear" w:pos="245"/>
          <w:tab w:val="left" w:pos="1080" w:leader="none"/>
        </w:tabs>
        <w:suppressAutoHyphens w:val="true"/>
        <w:ind w:firstLine="709"/>
        <w:jc w:val="both"/>
        <w:rPr>
          <w:color w:val="auto"/>
        </w:rPr>
      </w:pPr>
      <w:r>
        <w:rPr>
          <w:color w:val="auto"/>
          <w:sz w:val="28"/>
          <w:szCs w:val="28"/>
          <w:lang w:eastAsia="ar-SA"/>
        </w:rPr>
        <w:t xml:space="preserve">В настоящее время имеются договоренности с потенциальными резидентами, изъявившими желание реализовывать инвестиционные проекты на территории ТОСЭР «Донецк», что позволит увеличить инвестиции в основной капитал без учета бюджетных средств. </w:t>
      </w:r>
    </w:p>
    <w:p>
      <w:pPr>
        <w:pStyle w:val="Normal"/>
        <w:suppressAutoHyphens w:val="true"/>
        <w:ind w:firstLine="709"/>
        <w:jc w:val="both"/>
        <w:rPr>
          <w:color w:val="auto"/>
        </w:rPr>
      </w:pPr>
      <w:r>
        <w:rPr>
          <w:color w:val="auto"/>
          <w:sz w:val="28"/>
          <w:szCs w:val="28"/>
          <w:lang w:eastAsia="ar-SA"/>
        </w:rPr>
        <w:t xml:space="preserve">Согласно прогнозу социально-экономического развития города Донецка на 2019 год и на период до 2022 года объем инвестиций в основной капитал (по полному кругу предприятий) составит: в 2019 г. – </w:t>
      </w:r>
      <w:r>
        <w:rPr>
          <w:color w:val="auto"/>
          <w:sz w:val="28"/>
          <w:szCs w:val="28"/>
          <w:lang w:eastAsia="ar-SA"/>
        </w:rPr>
        <w:t>998,354</w:t>
      </w:r>
      <w:r>
        <w:rPr>
          <w:color w:val="auto"/>
          <w:sz w:val="28"/>
          <w:szCs w:val="28"/>
          <w:lang w:eastAsia="ar-SA"/>
        </w:rPr>
        <w:t xml:space="preserve"> млн. рублей, в 2020 г. – 1159,2 млн. рублей, в 2021 г. – 417,02 млн. рублей, в 2022 г. – 476 млн. рублей. Темп роста объема инвестиций в основной капитал составит соответственно – </w:t>
      </w:r>
      <w:r>
        <w:rPr>
          <w:color w:val="auto"/>
          <w:sz w:val="28"/>
          <w:szCs w:val="28"/>
          <w:lang w:eastAsia="ar-SA"/>
        </w:rPr>
        <w:t>100,4</w:t>
      </w:r>
      <w:r>
        <w:rPr>
          <w:color w:val="auto"/>
          <w:sz w:val="28"/>
          <w:szCs w:val="28"/>
          <w:lang w:eastAsia="ar-SA"/>
        </w:rPr>
        <w:t xml:space="preserve">%, </w:t>
      </w:r>
      <w:r>
        <w:rPr>
          <w:color w:val="auto"/>
          <w:sz w:val="28"/>
          <w:szCs w:val="28"/>
          <w:lang w:eastAsia="ar-SA"/>
        </w:rPr>
        <w:t>111,6</w:t>
      </w:r>
      <w:r>
        <w:rPr>
          <w:color w:val="auto"/>
          <w:sz w:val="28"/>
          <w:szCs w:val="28"/>
          <w:lang w:eastAsia="ar-SA"/>
        </w:rPr>
        <w:t xml:space="preserve">%, 34,6%, </w:t>
      </w:r>
      <w:r>
        <w:rPr>
          <w:color w:val="auto"/>
          <w:sz w:val="28"/>
          <w:szCs w:val="28"/>
          <w:lang w:eastAsia="ar-SA"/>
        </w:rPr>
        <w:t>109,6%</w:t>
      </w:r>
      <w:bookmarkStart w:id="5" w:name="_GoBack"/>
      <w:bookmarkEnd w:id="5"/>
      <w:r>
        <w:rPr>
          <w:color w:val="auto"/>
          <w:sz w:val="28"/>
          <w:szCs w:val="28"/>
          <w:lang w:eastAsia="ar-SA"/>
        </w:rPr>
        <w:t>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  <w:lang w:eastAsia="ar-SA"/>
        </w:rPr>
        <w:t>Просматриваемое снижение объема инвестиций в основной капитал (по полному кругу предприятий) в период с 2021 – 2022 годы обусловлено завершением реализации ряда инвестиционных проектов, реализация которых началась ранее в 2018 – 2019 годах, и финансировалась за счет бюджетных средств, а также планируемым началом реализации новых инвестиционных проектов в 2019 – 2020 годах.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В 2021 – 2022 годах прогноз объема инвестиций в основной капитал рассчитан с учетом строительства нового жилья экономического класса, для переселения граждан из аварийного жилищного фонда и детей-сирот.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  <w:lang w:eastAsia="ar-SA"/>
        </w:rPr>
        <w:t>Привлечение инвестиций в основной капитал – одна из главных задач в работе городской администрации.</w:t>
      </w:r>
    </w:p>
    <w:p>
      <w:pPr>
        <w:pStyle w:val="Normal"/>
        <w:ind w:firstLine="709"/>
        <w:jc w:val="both"/>
        <w:rPr>
          <w:sz w:val="28"/>
          <w:szCs w:val="20"/>
          <w:lang w:eastAsia="ar-SA"/>
        </w:rPr>
      </w:pPr>
      <w:r>
        <w:rPr>
          <w:color w:val="auto"/>
          <w:sz w:val="28"/>
          <w:szCs w:val="28"/>
          <w:lang w:eastAsia="ar-SA"/>
        </w:rPr>
        <w:t>Развитие экономики Администрация города Донецка видит в модернизации хозяйственного комплекса, во вложении средств в новые высокотехнологичные производства, в наращивании и использовании научного потенциала.</w:t>
      </w:r>
    </w:p>
    <w:p>
      <w:pPr>
        <w:pStyle w:val="Normal"/>
        <w:ind w:firstLine="709"/>
        <w:jc w:val="both"/>
        <w:rPr>
          <w:sz w:val="28"/>
          <w:szCs w:val="20"/>
          <w:lang w:eastAsia="ar-SA"/>
        </w:rPr>
      </w:pPr>
      <w:r>
        <w:rPr>
          <w:color w:val="auto"/>
          <w:sz w:val="28"/>
          <w:szCs w:val="28"/>
          <w:lang w:eastAsia="ar-SA"/>
        </w:rPr>
        <w:t>Согласно распоряжению Правительства Российской Федерации от 29.07.2014 № 1398-р «Об утверждении перечня монопрофильных муниципальных образований Российской Федерации (моногородов)», город Донецк включен в перечень монопрофильных муниципальных образований Российской Федерации (моногородов).</w:t>
      </w:r>
      <w:r>
        <w:rPr>
          <w:color w:val="auto"/>
          <w:sz w:val="28"/>
          <w:szCs w:val="28"/>
          <w:lang w:eastAsia="ar-SA"/>
        </w:rPr>
        <w:t xml:space="preserve"> </w:t>
      </w:r>
    </w:p>
    <w:p>
      <w:pPr>
        <w:pStyle w:val="Normal"/>
        <w:ind w:firstLine="709"/>
        <w:jc w:val="both"/>
        <w:rPr>
          <w:sz w:val="28"/>
          <w:szCs w:val="20"/>
          <w:lang w:eastAsia="ar-SA"/>
        </w:rPr>
      </w:pPr>
      <w:r>
        <w:rPr>
          <w:color w:val="auto"/>
          <w:sz w:val="28"/>
          <w:szCs w:val="28"/>
          <w:lang w:eastAsia="ar-SA"/>
        </w:rPr>
        <w:t xml:space="preserve">Администрацией города Донецка совместно с Правительством Ростовской области разработан и согласован в Министерстве регионального развития Российской Федерации Комплексный инвестиционный план модернизации моногорода Донецк. </w:t>
      </w:r>
    </w:p>
    <w:p>
      <w:pPr>
        <w:pStyle w:val="Normal"/>
        <w:ind w:firstLine="709"/>
        <w:jc w:val="both"/>
        <w:rPr>
          <w:sz w:val="28"/>
          <w:szCs w:val="20"/>
          <w:lang w:eastAsia="ar-SA"/>
        </w:rPr>
      </w:pPr>
      <w:r>
        <w:rPr>
          <w:color w:val="auto"/>
          <w:sz w:val="28"/>
          <w:szCs w:val="28"/>
          <w:lang w:eastAsia="ar-SA"/>
        </w:rPr>
        <w:t xml:space="preserve">Главной целью Комплексного инвестиционного плана модернизации моногорода Донецк является достижение устойчивого социально-экономического развития города, минимизация риска безработицы и, в конечном итоге, обеспечение повышения качества жизни населения. </w:t>
      </w:r>
    </w:p>
    <w:p>
      <w:pPr>
        <w:pStyle w:val="Normal"/>
        <w:suppressAutoHyphens w:val="true"/>
        <w:ind w:firstLine="720"/>
        <w:jc w:val="both"/>
        <w:rPr>
          <w:sz w:val="28"/>
          <w:szCs w:val="28"/>
          <w:lang w:eastAsia="ar-SA"/>
        </w:rPr>
      </w:pPr>
      <w:r>
        <w:rPr>
          <w:color w:val="auto"/>
          <w:sz w:val="28"/>
          <w:szCs w:val="28"/>
          <w:lang w:eastAsia="ar-SA"/>
        </w:rPr>
        <w:t>Администрацией города Донецка постоянно пополняется реестр бизнес-идей, возможных к реализации на территории города, разрабатываются инвестиционные проекты с привязкой к инвестиционным площадкам.</w:t>
      </w:r>
    </w:p>
    <w:p>
      <w:pPr>
        <w:pStyle w:val="Normal"/>
        <w:suppressAutoHyphens w:val="true"/>
        <w:ind w:firstLine="720"/>
        <w:jc w:val="both"/>
        <w:rPr>
          <w:sz w:val="28"/>
          <w:szCs w:val="28"/>
          <w:lang w:eastAsia="ar-SA"/>
        </w:rPr>
      </w:pPr>
      <w:r>
        <w:rPr>
          <w:color w:val="auto"/>
          <w:sz w:val="28"/>
          <w:szCs w:val="28"/>
          <w:lang w:eastAsia="ar-SA"/>
        </w:rPr>
        <w:t xml:space="preserve">Также Администрацией города выработано мнение, что инновации должны стать основой экономического роста Донецка и позволить в полной мере реализовать потенциал города. </w:t>
      </w:r>
    </w:p>
    <w:p>
      <w:pPr>
        <w:pStyle w:val="Normal"/>
        <w:suppressAutoHyphens w:val="true"/>
        <w:ind w:firstLine="720"/>
        <w:jc w:val="both"/>
        <w:rPr>
          <w:sz w:val="28"/>
          <w:szCs w:val="28"/>
          <w:lang w:eastAsia="ar-SA"/>
        </w:rPr>
      </w:pPr>
      <w:r>
        <w:rPr>
          <w:color w:val="auto"/>
          <w:sz w:val="28"/>
          <w:szCs w:val="28"/>
          <w:lang w:eastAsia="ar-SA"/>
        </w:rPr>
        <w:t>Существуют и такие свободные ниши в секторе услуг населению, как химчистка, прачечная, гостиницы, детские кафе.</w:t>
      </w:r>
    </w:p>
    <w:p>
      <w:pPr>
        <w:pStyle w:val="Normal"/>
        <w:suppressAutoHyphens w:val="true"/>
        <w:ind w:firstLine="720"/>
        <w:jc w:val="both"/>
        <w:rPr>
          <w:sz w:val="28"/>
          <w:szCs w:val="28"/>
          <w:lang w:eastAsia="ar-SA"/>
        </w:rPr>
      </w:pPr>
      <w:r>
        <w:rPr>
          <w:color w:val="auto"/>
          <w:sz w:val="28"/>
          <w:szCs w:val="28"/>
          <w:lang w:eastAsia="ar-SA"/>
        </w:rPr>
        <w:t>Практически не освоен малым и средним предпринимательством потенциал города в плане туризма. У данной отрасли большие перспективы, чему способствует возрастающий спрос на активный и пассивный отдых, с одной стороны, и наличие природных и исторических условий для такого отдыха в нашем городе, с другой.</w:t>
      </w:r>
    </w:p>
    <w:p>
      <w:pPr>
        <w:pStyle w:val="Normal"/>
        <w:suppressAutoHyphens w:val="true"/>
        <w:ind w:firstLine="720"/>
        <w:jc w:val="both"/>
        <w:rPr>
          <w:sz w:val="28"/>
          <w:szCs w:val="28"/>
          <w:lang w:eastAsia="ar-SA"/>
        </w:rPr>
      </w:pPr>
      <w:r>
        <w:rPr>
          <w:color w:val="auto"/>
          <w:sz w:val="28"/>
          <w:szCs w:val="28"/>
          <w:lang w:eastAsia="ar-SA"/>
        </w:rPr>
        <w:t>Администрацией города Донецка определены конкурентные преимущества города, отраслевые приоритеты для инвестирования с учетом географических и климатических условий, наличия сырьевой базы, кадрового потенциала: развитие туристско-рекреацинной зоны, развитие агропромышленного комплекса, инновационное производство.</w:t>
      </w:r>
    </w:p>
    <w:p>
      <w:pPr>
        <w:pStyle w:val="Normal"/>
        <w:suppressAutoHyphens w:val="true"/>
        <w:ind w:firstLine="720"/>
        <w:jc w:val="both"/>
        <w:rPr>
          <w:sz w:val="28"/>
          <w:szCs w:val="28"/>
          <w:lang w:eastAsia="ar-SA"/>
        </w:rPr>
      </w:pPr>
      <w:r>
        <w:rPr>
          <w:color w:val="auto"/>
          <w:sz w:val="28"/>
          <w:szCs w:val="28"/>
          <w:lang w:eastAsia="ar-SA"/>
        </w:rPr>
        <w:t>С целью повышения возможности привлечения инвесторов в город данная информация размещена на официальных сайтах г. Донецка, Агентства инвестиционного развития Ростовской области, на Интернет-портале  Делового совета торгово-промышленных палат белорусско-российско-украинского приграничья, Министерства сельского хозяйства и продовольствия Ростовской области.</w:t>
      </w:r>
    </w:p>
    <w:p>
      <w:pPr>
        <w:pStyle w:val="Normal"/>
        <w:suppressAutoHyphens w:val="true"/>
        <w:ind w:firstLine="720"/>
        <w:jc w:val="both"/>
        <w:rPr>
          <w:sz w:val="28"/>
          <w:szCs w:val="28"/>
          <w:lang w:eastAsia="ar-SA"/>
        </w:rPr>
      </w:pPr>
      <w:r>
        <w:rPr>
          <w:color w:val="auto"/>
          <w:sz w:val="28"/>
          <w:szCs w:val="28"/>
          <w:lang w:eastAsia="ar-SA"/>
        </w:rPr>
        <w:t xml:space="preserve">В городе разработана инвестиционная программа и с марта 2011 года действует Совет по инвестициям при Администрации, призванный содействовать привлечению инвестиций в экономику. Совет реализует политику Администрации города по привлечению инвестиций, созданию режима наибольшего благоприятствования для субъектов инвестиционной деятельности в целях обоснованного соблюдения экономических, социальных и экологических интересов населения города, обеспечения устойчивого развития экономики, стабильной социальной обстановки муниципального образования «Город Донецк». </w:t>
      </w:r>
    </w:p>
    <w:p>
      <w:pPr>
        <w:pStyle w:val="Normal"/>
        <w:suppressAutoHyphens w:val="true"/>
        <w:jc w:val="both"/>
        <w:rPr>
          <w:color w:val="auto"/>
          <w:sz w:val="28"/>
          <w:szCs w:val="28"/>
          <w:lang w:eastAsia="ar-SA"/>
        </w:rPr>
      </w:pPr>
      <w:r>
        <w:rPr>
          <w:color w:val="auto"/>
          <w:sz w:val="28"/>
          <w:szCs w:val="28"/>
          <w:lang w:eastAsia="ar-SA"/>
        </w:rPr>
      </w:r>
    </w:p>
    <w:p>
      <w:pPr>
        <w:pStyle w:val="Normal"/>
        <w:suppressAutoHyphens w:val="true"/>
        <w:jc w:val="both"/>
        <w:rPr>
          <w:color w:val="CE181E"/>
          <w:sz w:val="28"/>
          <w:szCs w:val="28"/>
          <w:lang w:eastAsia="ar-SA"/>
        </w:rPr>
      </w:pPr>
      <w:r>
        <w:rPr>
          <w:color w:val="CE181E"/>
          <w:sz w:val="28"/>
          <w:szCs w:val="28"/>
          <w:lang w:eastAsia="ar-SA"/>
        </w:rPr>
      </w:r>
    </w:p>
    <w:p>
      <w:pPr>
        <w:pStyle w:val="Normal"/>
        <w:suppressAutoHyphens w:val="true"/>
        <w:jc w:val="both"/>
        <w:rPr>
          <w:color w:val="CE181E"/>
          <w:sz w:val="28"/>
          <w:szCs w:val="28"/>
          <w:lang w:eastAsia="ar-SA"/>
        </w:rPr>
      </w:pPr>
      <w:r>
        <w:rPr>
          <w:color w:val="CE181E"/>
          <w:sz w:val="28"/>
          <w:szCs w:val="28"/>
          <w:lang w:eastAsia="ar-SA"/>
        </w:rPr>
      </w:r>
    </w:p>
    <w:p>
      <w:pPr>
        <w:pStyle w:val="Normal"/>
        <w:suppressAutoHyphens w:val="true"/>
        <w:jc w:val="both"/>
        <w:rPr>
          <w:color w:val="CE181E"/>
          <w:sz w:val="28"/>
          <w:szCs w:val="28"/>
          <w:lang w:eastAsia="ar-SA"/>
        </w:rPr>
      </w:pPr>
      <w:r>
        <w:rPr>
          <w:color w:val="CE181E"/>
          <w:sz w:val="28"/>
          <w:szCs w:val="28"/>
          <w:lang w:eastAsia="ar-SA"/>
        </w:rPr>
      </w:r>
    </w:p>
    <w:p>
      <w:pPr>
        <w:pStyle w:val="Normal"/>
        <w:suppressAutoHyphens w:val="true"/>
        <w:jc w:val="both"/>
        <w:rPr>
          <w:color w:val="CE181E"/>
          <w:sz w:val="28"/>
          <w:szCs w:val="28"/>
          <w:lang w:eastAsia="ar-SA"/>
        </w:rPr>
      </w:pPr>
      <w:r>
        <w:rPr>
          <w:color w:val="CE181E"/>
          <w:sz w:val="28"/>
          <w:szCs w:val="28"/>
          <w:lang w:eastAsia="ar-SA"/>
        </w:rPr>
      </w:r>
    </w:p>
    <w:p>
      <w:pPr>
        <w:pStyle w:val="Normal"/>
        <w:suppressAutoHyphens w:val="true"/>
        <w:jc w:val="both"/>
        <w:rPr>
          <w:color w:val="CE181E"/>
          <w:sz w:val="28"/>
          <w:szCs w:val="28"/>
          <w:lang w:eastAsia="ar-SA"/>
        </w:rPr>
      </w:pPr>
      <w:r>
        <w:rPr>
          <w:color w:val="CE181E"/>
          <w:sz w:val="28"/>
          <w:szCs w:val="28"/>
          <w:lang w:eastAsia="ar-SA"/>
        </w:rPr>
      </w:r>
    </w:p>
    <w:p>
      <w:pPr>
        <w:pStyle w:val="Normal"/>
        <w:suppressAutoHyphens w:val="true"/>
        <w:jc w:val="both"/>
        <w:rPr>
          <w:color w:val="CE181E"/>
          <w:sz w:val="28"/>
          <w:szCs w:val="28"/>
          <w:lang w:eastAsia="ar-SA"/>
        </w:rPr>
      </w:pPr>
      <w:r>
        <w:rPr>
          <w:color w:val="CE181E"/>
          <w:sz w:val="28"/>
          <w:szCs w:val="28"/>
          <w:lang w:eastAsia="ar-SA"/>
        </w:rPr>
      </w:r>
    </w:p>
    <w:p>
      <w:pPr>
        <w:pStyle w:val="Normal"/>
        <w:suppressAutoHyphens w:val="true"/>
        <w:jc w:val="both"/>
        <w:rPr>
          <w:color w:val="CE181E"/>
          <w:sz w:val="28"/>
          <w:szCs w:val="28"/>
          <w:lang w:eastAsia="ar-SA"/>
        </w:rPr>
      </w:pPr>
      <w:r>
        <w:rPr>
          <w:color w:val="CE181E"/>
          <w:sz w:val="28"/>
          <w:szCs w:val="28"/>
          <w:lang w:eastAsia="ar-SA"/>
        </w:rPr>
      </w:r>
    </w:p>
    <w:p>
      <w:pPr>
        <w:pStyle w:val="Normal"/>
        <w:suppressAutoHyphens w:val="true"/>
        <w:jc w:val="both"/>
        <w:rPr>
          <w:color w:val="CE181E"/>
          <w:sz w:val="28"/>
          <w:szCs w:val="28"/>
          <w:lang w:eastAsia="ar-SA"/>
        </w:rPr>
      </w:pPr>
      <w:r>
        <w:rPr>
          <w:color w:val="CE181E"/>
          <w:sz w:val="28"/>
          <w:szCs w:val="28"/>
          <w:lang w:eastAsia="ar-SA"/>
        </w:rPr>
      </w:r>
    </w:p>
    <w:p>
      <w:pPr>
        <w:pStyle w:val="Normal"/>
        <w:suppressAutoHyphens w:val="true"/>
        <w:jc w:val="both"/>
        <w:rPr>
          <w:color w:val="CE181E"/>
          <w:sz w:val="28"/>
          <w:szCs w:val="28"/>
          <w:lang w:eastAsia="ar-SA"/>
        </w:rPr>
      </w:pPr>
      <w:r>
        <w:rPr>
          <w:color w:val="CE181E"/>
          <w:sz w:val="28"/>
          <w:szCs w:val="28"/>
          <w:lang w:eastAsia="ar-SA"/>
        </w:rPr>
      </w:r>
    </w:p>
    <w:p>
      <w:pPr>
        <w:pStyle w:val="Normal"/>
        <w:suppressAutoHyphens w:val="true"/>
        <w:jc w:val="both"/>
        <w:rPr>
          <w:sz w:val="28"/>
          <w:szCs w:val="28"/>
        </w:rPr>
      </w:pPr>
      <w:r>
        <w:rPr>
          <w:color w:val="auto"/>
          <w:sz w:val="28"/>
          <w:szCs w:val="28"/>
          <w:lang w:eastAsia="ar-SA"/>
        </w:rPr>
        <w:t xml:space="preserve">Первый заместитель главы </w:t>
      </w:r>
    </w:p>
    <w:p>
      <w:pPr>
        <w:pStyle w:val="Normal"/>
        <w:suppressAutoHyphens w:val="true"/>
        <w:jc w:val="both"/>
        <w:rPr/>
      </w:pPr>
      <w:r>
        <w:rPr>
          <w:color w:val="auto"/>
          <w:sz w:val="28"/>
          <w:szCs w:val="28"/>
          <w:lang w:eastAsia="ar-SA"/>
        </w:rPr>
        <w:t>Администрации города Донецка                                                               А.А. Чернодуб</w:t>
      </w:r>
    </w:p>
    <w:p>
      <w:pPr>
        <w:pStyle w:val="Normal"/>
        <w:suppressAutoHyphens w:val="true"/>
        <w:jc w:val="both"/>
        <w:rPr>
          <w:color w:val="CE181E"/>
          <w:sz w:val="28"/>
          <w:szCs w:val="28"/>
          <w:lang w:eastAsia="ar-SA"/>
        </w:rPr>
      </w:pPr>
      <w:r>
        <w:rPr>
          <w:color w:val="CE181E"/>
          <w:sz w:val="28"/>
          <w:szCs w:val="28"/>
          <w:lang w:eastAsia="ar-SA"/>
        </w:rPr>
      </w:r>
    </w:p>
    <w:p>
      <w:pPr>
        <w:pStyle w:val="Normal"/>
        <w:suppressAutoHyphens w:val="true"/>
        <w:jc w:val="both"/>
        <w:rPr>
          <w:color w:val="CE181E"/>
          <w:sz w:val="16"/>
          <w:szCs w:val="16"/>
          <w:lang w:eastAsia="ar-SA"/>
        </w:rPr>
      </w:pPr>
      <w:r>
        <w:rPr>
          <w:color w:val="CE181E"/>
          <w:sz w:val="16"/>
          <w:szCs w:val="16"/>
          <w:lang w:eastAsia="ar-SA"/>
        </w:rPr>
      </w:r>
    </w:p>
    <w:p>
      <w:pPr>
        <w:pStyle w:val="Normal"/>
        <w:suppressAutoHyphens w:val="true"/>
        <w:jc w:val="both"/>
        <w:rPr>
          <w:color w:val="CE181E"/>
          <w:sz w:val="16"/>
          <w:szCs w:val="16"/>
          <w:lang w:eastAsia="ar-SA"/>
        </w:rPr>
      </w:pPr>
      <w:r>
        <w:rPr>
          <w:color w:val="CE181E"/>
          <w:sz w:val="16"/>
          <w:szCs w:val="16"/>
          <w:lang w:eastAsia="ar-SA"/>
        </w:rPr>
      </w:r>
    </w:p>
    <w:p>
      <w:pPr>
        <w:pStyle w:val="Normal"/>
        <w:suppressAutoHyphens w:val="true"/>
        <w:jc w:val="both"/>
        <w:rPr>
          <w:color w:val="CE181E"/>
          <w:sz w:val="16"/>
          <w:szCs w:val="16"/>
          <w:lang w:eastAsia="ar-SA"/>
        </w:rPr>
      </w:pPr>
      <w:r>
        <w:rPr>
          <w:color w:val="CE181E"/>
          <w:sz w:val="16"/>
          <w:szCs w:val="16"/>
          <w:lang w:eastAsia="ar-SA"/>
        </w:rPr>
      </w:r>
    </w:p>
    <w:p>
      <w:pPr>
        <w:pStyle w:val="Normal"/>
        <w:suppressAutoHyphens w:val="true"/>
        <w:jc w:val="both"/>
        <w:rPr>
          <w:color w:val="CE181E"/>
          <w:sz w:val="16"/>
          <w:szCs w:val="16"/>
          <w:lang w:eastAsia="ar-SA"/>
        </w:rPr>
      </w:pPr>
      <w:r>
        <w:rPr>
          <w:color w:val="CE181E"/>
          <w:sz w:val="16"/>
          <w:szCs w:val="16"/>
          <w:lang w:eastAsia="ar-SA"/>
        </w:rPr>
      </w:r>
    </w:p>
    <w:p>
      <w:pPr>
        <w:pStyle w:val="Normal"/>
        <w:suppressAutoHyphens w:val="true"/>
        <w:jc w:val="both"/>
        <w:rPr>
          <w:color w:val="CE181E"/>
          <w:sz w:val="16"/>
          <w:szCs w:val="16"/>
          <w:lang w:eastAsia="ar-SA"/>
        </w:rPr>
      </w:pPr>
      <w:r>
        <w:rPr>
          <w:color w:val="CE181E"/>
          <w:sz w:val="16"/>
          <w:szCs w:val="16"/>
          <w:lang w:eastAsia="ar-SA"/>
        </w:rPr>
      </w:r>
    </w:p>
    <w:p>
      <w:pPr>
        <w:pStyle w:val="Normal"/>
        <w:suppressAutoHyphens w:val="true"/>
        <w:jc w:val="both"/>
        <w:rPr>
          <w:color w:val="CE181E"/>
          <w:sz w:val="16"/>
          <w:szCs w:val="16"/>
          <w:lang w:eastAsia="ar-SA"/>
        </w:rPr>
      </w:pPr>
      <w:r>
        <w:rPr>
          <w:color w:val="CE181E"/>
          <w:sz w:val="16"/>
          <w:szCs w:val="16"/>
          <w:lang w:eastAsia="ar-SA"/>
        </w:rPr>
      </w:r>
    </w:p>
    <w:p>
      <w:pPr>
        <w:pStyle w:val="Normal"/>
        <w:suppressAutoHyphens w:val="true"/>
        <w:jc w:val="both"/>
        <w:rPr>
          <w:color w:val="CE181E"/>
          <w:sz w:val="16"/>
          <w:szCs w:val="16"/>
          <w:lang w:eastAsia="ar-SA"/>
        </w:rPr>
      </w:pPr>
      <w:r>
        <w:rPr>
          <w:color w:val="CE181E"/>
          <w:sz w:val="16"/>
          <w:szCs w:val="16"/>
          <w:lang w:eastAsia="ar-SA"/>
        </w:rPr>
      </w:r>
    </w:p>
    <w:p>
      <w:pPr>
        <w:pStyle w:val="Normal"/>
        <w:suppressAutoHyphens w:val="true"/>
        <w:jc w:val="both"/>
        <w:rPr>
          <w:color w:val="CE181E"/>
          <w:sz w:val="16"/>
          <w:szCs w:val="16"/>
          <w:lang w:eastAsia="ar-SA"/>
        </w:rPr>
      </w:pPr>
      <w:r>
        <w:rPr>
          <w:color w:val="CE181E"/>
          <w:sz w:val="16"/>
          <w:szCs w:val="16"/>
          <w:lang w:eastAsia="ar-SA"/>
        </w:rPr>
      </w:r>
    </w:p>
    <w:p>
      <w:pPr>
        <w:pStyle w:val="Normal"/>
        <w:suppressAutoHyphens w:val="true"/>
        <w:jc w:val="both"/>
        <w:rPr>
          <w:color w:val="CE181E"/>
          <w:sz w:val="16"/>
          <w:szCs w:val="16"/>
          <w:lang w:eastAsia="ar-SA"/>
        </w:rPr>
      </w:pPr>
      <w:r>
        <w:rPr>
          <w:color w:val="CE181E"/>
          <w:sz w:val="16"/>
          <w:szCs w:val="16"/>
          <w:lang w:eastAsia="ar-SA"/>
        </w:rPr>
      </w:r>
    </w:p>
    <w:p>
      <w:pPr>
        <w:pStyle w:val="Normal"/>
        <w:suppressAutoHyphens w:val="true"/>
        <w:jc w:val="both"/>
        <w:rPr>
          <w:color w:val="CE181E"/>
          <w:sz w:val="16"/>
          <w:szCs w:val="16"/>
          <w:lang w:eastAsia="ar-SA"/>
        </w:rPr>
      </w:pPr>
      <w:r>
        <w:rPr>
          <w:color w:val="CE181E"/>
          <w:sz w:val="16"/>
          <w:szCs w:val="16"/>
          <w:lang w:eastAsia="ar-SA"/>
        </w:rPr>
      </w:r>
    </w:p>
    <w:p>
      <w:pPr>
        <w:pStyle w:val="Normal"/>
        <w:suppressAutoHyphens w:val="true"/>
        <w:jc w:val="both"/>
        <w:rPr>
          <w:color w:val="CE181E"/>
          <w:sz w:val="16"/>
          <w:szCs w:val="16"/>
          <w:lang w:eastAsia="ar-SA"/>
        </w:rPr>
      </w:pPr>
      <w:r>
        <w:rPr>
          <w:color w:val="CE181E"/>
          <w:sz w:val="16"/>
          <w:szCs w:val="16"/>
          <w:lang w:eastAsia="ar-SA"/>
        </w:rPr>
      </w:r>
    </w:p>
    <w:p>
      <w:pPr>
        <w:pStyle w:val="Normal"/>
        <w:suppressAutoHyphens w:val="true"/>
        <w:jc w:val="both"/>
        <w:rPr>
          <w:color w:val="CE181E"/>
          <w:sz w:val="16"/>
          <w:szCs w:val="16"/>
          <w:lang w:eastAsia="ar-SA"/>
        </w:rPr>
      </w:pPr>
      <w:r>
        <w:rPr>
          <w:color w:val="CE181E"/>
          <w:sz w:val="16"/>
          <w:szCs w:val="16"/>
          <w:lang w:eastAsia="ar-SA"/>
        </w:rPr>
      </w:r>
    </w:p>
    <w:p>
      <w:pPr>
        <w:pStyle w:val="Normal"/>
        <w:suppressAutoHyphens w:val="true"/>
        <w:jc w:val="both"/>
        <w:rPr>
          <w:color w:val="CE181E"/>
          <w:sz w:val="16"/>
          <w:szCs w:val="16"/>
          <w:lang w:eastAsia="ar-SA"/>
        </w:rPr>
      </w:pPr>
      <w:r>
        <w:rPr>
          <w:color w:val="CE181E"/>
          <w:sz w:val="16"/>
          <w:szCs w:val="16"/>
          <w:lang w:eastAsia="ar-SA"/>
        </w:rPr>
      </w:r>
    </w:p>
    <w:p>
      <w:pPr>
        <w:pStyle w:val="Normal"/>
        <w:suppressAutoHyphens w:val="true"/>
        <w:jc w:val="both"/>
        <w:rPr>
          <w:color w:val="CE181E"/>
          <w:sz w:val="16"/>
          <w:szCs w:val="16"/>
          <w:lang w:eastAsia="ar-SA"/>
        </w:rPr>
      </w:pPr>
      <w:r>
        <w:rPr>
          <w:color w:val="CE181E"/>
          <w:sz w:val="16"/>
          <w:szCs w:val="16"/>
          <w:lang w:eastAsia="ar-SA"/>
        </w:rPr>
      </w:r>
    </w:p>
    <w:p>
      <w:pPr>
        <w:pStyle w:val="Normal"/>
        <w:suppressAutoHyphens w:val="true"/>
        <w:jc w:val="both"/>
        <w:rPr>
          <w:color w:val="CE181E"/>
          <w:sz w:val="16"/>
          <w:szCs w:val="16"/>
          <w:lang w:eastAsia="ar-SA"/>
        </w:rPr>
      </w:pPr>
      <w:r>
        <w:rPr>
          <w:color w:val="CE181E"/>
          <w:sz w:val="16"/>
          <w:szCs w:val="16"/>
          <w:lang w:eastAsia="ar-SA"/>
        </w:rPr>
      </w:r>
    </w:p>
    <w:p>
      <w:pPr>
        <w:pStyle w:val="Normal"/>
        <w:suppressAutoHyphens w:val="true"/>
        <w:jc w:val="both"/>
        <w:rPr>
          <w:color w:val="CE181E"/>
          <w:sz w:val="16"/>
          <w:szCs w:val="16"/>
          <w:lang w:eastAsia="ar-SA"/>
        </w:rPr>
      </w:pPr>
      <w:r>
        <w:rPr>
          <w:color w:val="CE181E"/>
          <w:sz w:val="16"/>
          <w:szCs w:val="16"/>
          <w:lang w:eastAsia="ar-SA"/>
        </w:rPr>
      </w:r>
    </w:p>
    <w:p>
      <w:pPr>
        <w:pStyle w:val="Normal"/>
        <w:suppressAutoHyphens w:val="true"/>
        <w:jc w:val="both"/>
        <w:rPr>
          <w:color w:val="CE181E"/>
          <w:sz w:val="16"/>
          <w:szCs w:val="16"/>
          <w:lang w:eastAsia="ar-SA"/>
        </w:rPr>
      </w:pPr>
      <w:r>
        <w:rPr>
          <w:color w:val="CE181E"/>
          <w:sz w:val="16"/>
          <w:szCs w:val="16"/>
          <w:lang w:eastAsia="ar-SA"/>
        </w:rPr>
      </w:r>
    </w:p>
    <w:p>
      <w:pPr>
        <w:pStyle w:val="Normal"/>
        <w:suppressAutoHyphens w:val="true"/>
        <w:jc w:val="both"/>
        <w:rPr>
          <w:color w:val="CE181E"/>
          <w:sz w:val="16"/>
          <w:szCs w:val="16"/>
          <w:lang w:eastAsia="ar-SA"/>
        </w:rPr>
      </w:pPr>
      <w:r>
        <w:rPr>
          <w:color w:val="CE181E"/>
          <w:sz w:val="16"/>
          <w:szCs w:val="16"/>
          <w:lang w:eastAsia="ar-SA"/>
        </w:rPr>
      </w:r>
    </w:p>
    <w:p>
      <w:pPr>
        <w:pStyle w:val="Normal"/>
        <w:suppressAutoHyphens w:val="true"/>
        <w:jc w:val="both"/>
        <w:rPr/>
      </w:pPr>
      <w:r>
        <w:rPr>
          <w:color w:val="auto"/>
          <w:sz w:val="16"/>
          <w:szCs w:val="16"/>
          <w:lang w:eastAsia="ar-SA"/>
        </w:rPr>
        <w:t>Исп. Светлана Владимировна Беленко 8 (86368) 2 25 00</w:t>
      </w:r>
    </w:p>
    <w:sectPr>
      <w:type w:val="nextPage"/>
      <w:pgSz w:w="11906" w:h="16838"/>
      <w:pgMar w:left="1134" w:right="567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245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42308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Основной шрифт абзаца"/>
    <w:qFormat/>
    <w:rPr/>
  </w:style>
  <w:style w:type="character" w:styleId="Eop">
    <w:name w:val="eop"/>
    <w:basedOn w:val="Style14"/>
    <w:qFormat/>
    <w:rPr/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character" w:styleId="Style16">
    <w:name w:val="Посещённая гиперссылка"/>
    <w:rPr>
      <w:color w:val="800080"/>
      <w:u w:val="single"/>
    </w:rPr>
  </w:style>
  <w:style w:type="character" w:styleId="ListLabel1">
    <w:name w:val="ListLabel 1"/>
    <w:qFormat/>
    <w:rPr>
      <w:color w:val="000000"/>
      <w:sz w:val="30"/>
      <w:szCs w:val="30"/>
      <w:shd w:fill="FFFFFF" w:val="clear"/>
      <w:lang w:val="ru-RU"/>
    </w:rPr>
  </w:style>
  <w:style w:type="character" w:styleId="ListLabel2">
    <w:name w:val="ListLabel 2"/>
    <w:qFormat/>
    <w:rPr>
      <w:color w:val="000000"/>
      <w:sz w:val="30"/>
      <w:szCs w:val="30"/>
      <w:shd w:fill="FFFFFF" w:val="clear"/>
    </w:rPr>
  </w:style>
  <w:style w:type="character" w:styleId="ListLabel3">
    <w:name w:val="ListLabel 3"/>
    <w:qFormat/>
    <w:rPr>
      <w:color w:val="000000"/>
      <w:sz w:val="30"/>
      <w:szCs w:val="30"/>
      <w:shd w:fill="FFFFFF" w:val="clear"/>
      <w:lang w:val="ru-RU"/>
    </w:rPr>
  </w:style>
  <w:style w:type="character" w:styleId="ListLabel4">
    <w:name w:val="ListLabel 4"/>
    <w:qFormat/>
    <w:rPr>
      <w:color w:val="000000"/>
      <w:sz w:val="30"/>
      <w:szCs w:val="30"/>
      <w:shd w:fill="FFFFFF" w:val="clear"/>
    </w:rPr>
  </w:style>
  <w:style w:type="character" w:styleId="ListLabel5">
    <w:name w:val="ListLabel 5"/>
    <w:qFormat/>
    <w:rPr>
      <w:color w:val="000000"/>
      <w:sz w:val="30"/>
      <w:szCs w:val="30"/>
      <w:shd w:fill="FFFFFF" w:val="clear"/>
      <w:lang w:val="ru-RU"/>
    </w:rPr>
  </w:style>
  <w:style w:type="character" w:styleId="ListLabel6">
    <w:name w:val="ListLabel 6"/>
    <w:qFormat/>
    <w:rPr>
      <w:color w:val="000000"/>
      <w:sz w:val="30"/>
      <w:szCs w:val="30"/>
      <w:shd w:fill="FFFFFF" w:val="clear"/>
    </w:rPr>
  </w:style>
  <w:style w:type="character" w:styleId="ListLabel7">
    <w:name w:val="ListLabel 7"/>
    <w:qFormat/>
    <w:rPr>
      <w:color w:val="000000"/>
      <w:sz w:val="30"/>
      <w:szCs w:val="30"/>
      <w:shd w:fill="FFFFFF" w:val="clear"/>
      <w:lang w:val="ru-RU"/>
    </w:rPr>
  </w:style>
  <w:style w:type="character" w:styleId="ListLabel8">
    <w:name w:val="ListLabel 8"/>
    <w:qFormat/>
    <w:rPr>
      <w:color w:val="000000"/>
      <w:sz w:val="30"/>
      <w:szCs w:val="30"/>
      <w:shd w:fill="FFFFFF" w:val="clear"/>
    </w:rPr>
  </w:style>
  <w:style w:type="character" w:styleId="ListLabel9">
    <w:name w:val="ListLabel 9"/>
    <w:qFormat/>
    <w:rPr>
      <w:color w:val="000000"/>
      <w:sz w:val="30"/>
      <w:szCs w:val="30"/>
      <w:shd w:fill="FFFFFF" w:val="clear"/>
      <w:lang w:val="ru-RU"/>
    </w:rPr>
  </w:style>
  <w:style w:type="character" w:styleId="ListLabel10">
    <w:name w:val="ListLabel 10"/>
    <w:qFormat/>
    <w:rPr>
      <w:color w:val="000000"/>
      <w:sz w:val="30"/>
      <w:szCs w:val="30"/>
      <w:shd w:fill="FFFFFF" w:val="clear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5z0">
    <w:name w:val="WW8Num5z0"/>
    <w:qFormat/>
    <w:rPr>
      <w:rFonts w:ascii="Symbol" w:hAnsi="Symbol" w:cs="Symbol"/>
      <w:lang w:val="ru-RU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ListLabel11">
    <w:name w:val="ListLabel 11"/>
    <w:qFormat/>
    <w:rPr>
      <w:color w:val="000000"/>
      <w:sz w:val="28"/>
      <w:szCs w:val="28"/>
      <w:shd w:fill="FFFFFF" w:val="clear"/>
      <w:lang w:val="ru-RU"/>
    </w:rPr>
  </w:style>
  <w:style w:type="character" w:styleId="ListLabel12">
    <w:name w:val="ListLabel 12"/>
    <w:qFormat/>
    <w:rPr>
      <w:color w:val="000000"/>
      <w:sz w:val="28"/>
      <w:szCs w:val="28"/>
      <w:shd w:fill="FFFFFF" w:val="clear"/>
    </w:rPr>
  </w:style>
  <w:style w:type="character" w:styleId="ListLabel13">
    <w:name w:val="ListLabel 13"/>
    <w:qFormat/>
    <w:rPr>
      <w:color w:val="000000"/>
      <w:sz w:val="28"/>
      <w:szCs w:val="28"/>
      <w:shd w:fill="FFFFFF" w:val="clear"/>
      <w:lang w:val="ru-RU"/>
    </w:rPr>
  </w:style>
  <w:style w:type="character" w:styleId="ListLabel14">
    <w:name w:val="ListLabel 14"/>
    <w:qFormat/>
    <w:rPr>
      <w:color w:val="000000"/>
      <w:sz w:val="28"/>
      <w:szCs w:val="28"/>
      <w:shd w:fill="FFFFFF" w:val="clear"/>
    </w:rPr>
  </w:style>
  <w:style w:type="character" w:styleId="ListLabel15">
    <w:name w:val="ListLabel 15"/>
    <w:qFormat/>
    <w:rPr>
      <w:color w:val="000000"/>
      <w:sz w:val="28"/>
      <w:szCs w:val="28"/>
      <w:shd w:fill="FFFFFF" w:val="clear"/>
      <w:lang w:val="ru-RU"/>
    </w:rPr>
  </w:style>
  <w:style w:type="character" w:styleId="ListLabel16">
    <w:name w:val="ListLabel 16"/>
    <w:qFormat/>
    <w:rPr>
      <w:color w:val="000000"/>
      <w:sz w:val="28"/>
      <w:szCs w:val="28"/>
      <w:shd w:fill="FFFFFF" w:val="clear"/>
    </w:rPr>
  </w:style>
  <w:style w:type="character" w:styleId="ListLabel17">
    <w:name w:val="ListLabel 17"/>
    <w:qFormat/>
    <w:rPr>
      <w:color w:val="000000"/>
      <w:sz w:val="28"/>
      <w:szCs w:val="28"/>
      <w:shd w:fill="FFFFFF" w:val="clear"/>
      <w:lang w:val="ru-RU"/>
    </w:rPr>
  </w:style>
  <w:style w:type="character" w:styleId="ListLabel18">
    <w:name w:val="ListLabel 18"/>
    <w:qFormat/>
    <w:rPr>
      <w:color w:val="000000"/>
      <w:sz w:val="28"/>
      <w:szCs w:val="28"/>
      <w:shd w:fill="FFFFFF" w:val="clear"/>
    </w:rPr>
  </w:style>
  <w:style w:type="character" w:styleId="ListLabel19">
    <w:name w:val="ListLabel 19"/>
    <w:qFormat/>
    <w:rPr>
      <w:color w:val="000000"/>
      <w:sz w:val="28"/>
      <w:szCs w:val="28"/>
      <w:u w:val="none"/>
      <w:shd w:fill="FFFFFF" w:val="clear"/>
      <w:lang w:val="ru-RU"/>
    </w:rPr>
  </w:style>
  <w:style w:type="character" w:styleId="ListLabel20">
    <w:name w:val="ListLabel 20"/>
    <w:qFormat/>
    <w:rPr>
      <w:color w:val="000000"/>
      <w:sz w:val="28"/>
      <w:szCs w:val="28"/>
      <w:u w:val="none"/>
      <w:shd w:fill="FFFFFF" w:val="clear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Paragraph">
    <w:name w:val="paragraph"/>
    <w:basedOn w:val="Normal"/>
    <w:qFormat/>
    <w:pPr>
      <w:spacing w:before="280" w:after="280"/>
    </w:pPr>
    <w:rPr>
      <w:lang w:val="ru-RU"/>
    </w:rPr>
  </w:style>
  <w:style w:type="numbering" w:styleId="NoList" w:default="1">
    <w:name w:val="No List"/>
    <w:uiPriority w:val="99"/>
    <w:semiHidden/>
    <w:unhideWhenUsed/>
    <w:qFormat/>
  </w:style>
  <w:style w:type="numbering" w:styleId="WW8Num10">
    <w:name w:val="WW8Num10"/>
    <w:qFormat/>
  </w:style>
  <w:style w:type="numbering" w:styleId="WW8Num2">
    <w:name w:val="WW8Num2"/>
    <w:qFormat/>
  </w:style>
  <w:style w:type="numbering" w:styleId="WW8Num5">
    <w:name w:val="WW8Num5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javascript:saveTabAndGo(&apos;/asyst/Project/form/auto/178722?mode=view&apos;)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Application>LibreOffice/6.1.5.2$Windows_x86 LibreOffice_project/90f8dcf33c87b3705e78202e3df5142b201bd805</Application>
  <Pages>5</Pages>
  <Words>1565</Words>
  <Characters>11124</Characters>
  <CharactersWithSpaces>12747</CharactersWithSpaces>
  <Paragraphs>56</Paragraphs>
  <Company>Администрация города Донецка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2018-06-19T09:58:00Z</dcterms:created>
  <dc:creator>Tk17_3</dc:creator>
  <dc:description/>
  <dc:language>ru-RU</dc:language>
  <cp:lastModifiedBy/>
  <dcterms:modified xsi:type="dcterms:W3CDTF">2019-06-19T12:46:43Z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города Донецка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