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20" w:line="240" w:lineRule="auto"/>
        <w:ind w:firstLine="709" w:left="0"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 ПО ВИДУ ДЕЯТЕЛЬНОСТИ  «СТРОИТЕЛЬСТВО»  И «ВВОД В ЭКСПЛУАТАЦИЮ ЖИЛЫХ ДОМОВ ЗА СЧЕТ ВСЕХ ИСТОЧНИКОВ ФИНАНСИРОВАНИЯ</w:t>
      </w:r>
    </w:p>
    <w:p w14:paraId="02000000">
      <w:pPr>
        <w:pStyle w:val="Style_1"/>
        <w:tabs>
          <w:tab w:leader="none" w:pos="675" w:val="left"/>
        </w:tabs>
        <w:spacing w:after="0" w:line="240" w:lineRule="auto"/>
        <w:ind w:firstLine="0" w:left="113"/>
        <w:jc w:val="both"/>
      </w:pPr>
    </w:p>
    <w:p w14:paraId="03000000">
      <w:pPr>
        <w:spacing w:after="0"/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В 2021 году план объема работ</w:t>
      </w:r>
      <w:r>
        <w:rPr>
          <w:rFonts w:ascii="Times New Roman" w:hAnsi="Times New Roman"/>
          <w:sz w:val="28"/>
        </w:rPr>
        <w:t xml:space="preserve"> по виду деятельности «строительство» составляет 120</w:t>
      </w:r>
      <w:r>
        <w:rPr>
          <w:rFonts w:ascii="Times New Roman" w:hAnsi="Times New Roman"/>
          <w:sz w:val="28"/>
        </w:rPr>
        <w:t>,608  млн. рублей, в том числе</w:t>
      </w:r>
      <w:r>
        <w:rPr>
          <w:rFonts w:ascii="Times New Roman" w:hAnsi="Times New Roman"/>
          <w:sz w:val="28"/>
        </w:rPr>
        <w:t>:</w:t>
      </w:r>
    </w:p>
    <w:p w14:paraId="04000000">
      <w:pPr>
        <w:tabs>
          <w:tab w:leader="none" w:pos="851" w:val="left"/>
          <w:tab w:leader="none" w:pos="993" w:val="left"/>
        </w:tabs>
        <w:spacing w:after="0"/>
        <w:ind w:firstLine="0" w:left="57"/>
        <w:contextualSpacing w:val="1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- 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сооружений» стоимостью 120,608 млн. рублей;</w:t>
      </w:r>
    </w:p>
    <w:p w14:paraId="05000000">
      <w:pPr>
        <w:pStyle w:val="Style_1"/>
        <w:tabs>
          <w:tab w:leader="none" w:pos="675" w:val="left"/>
        </w:tabs>
        <w:spacing w:after="0"/>
        <w:ind w:firstLine="0" w:left="113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b w:val="1"/>
          <w:spacing w:val="-1"/>
          <w:sz w:val="28"/>
        </w:rPr>
        <w:t>В 2022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</w:t>
      </w:r>
      <w:r>
        <w:rPr>
          <w:rFonts w:ascii="Times New Roman" w:hAnsi="Times New Roman"/>
          <w:spacing w:val="-1"/>
          <w:sz w:val="28"/>
        </w:rPr>
        <w:t xml:space="preserve"> составляет 43,725 млн. рублей</w:t>
      </w:r>
      <w:r>
        <w:rPr>
          <w:rFonts w:ascii="Times New Roman" w:hAnsi="Times New Roman"/>
          <w:spacing w:val="-1"/>
          <w:sz w:val="28"/>
        </w:rPr>
        <w:t>, в том числе:</w:t>
      </w:r>
    </w:p>
    <w:p w14:paraId="06000000">
      <w:pPr>
        <w:spacing w:after="0"/>
        <w:ind w:firstLine="709" w:left="0"/>
        <w:jc w:val="both"/>
      </w:pP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 xml:space="preserve"> индивидуальное жилищное строительство стоимостью 43,725</w:t>
      </w:r>
      <w:r>
        <w:rPr>
          <w:rFonts w:ascii="Times New Roman" w:hAnsi="Times New Roman"/>
          <w:spacing w:val="-1"/>
          <w:sz w:val="28"/>
        </w:rPr>
        <w:t xml:space="preserve"> млн. рублей;</w:t>
      </w:r>
    </w:p>
    <w:p w14:paraId="07000000">
      <w:pPr>
        <w:spacing w:after="0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>В 2023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369,430</w:t>
      </w:r>
      <w:r>
        <w:rPr>
          <w:rFonts w:ascii="Times New Roman" w:hAnsi="Times New Roman"/>
          <w:spacing w:val="-1"/>
          <w:sz w:val="28"/>
        </w:rPr>
        <w:t xml:space="preserve"> млн. рублей</w:t>
      </w:r>
      <w:r>
        <w:rPr>
          <w:rFonts w:ascii="Times New Roman" w:hAnsi="Times New Roman"/>
          <w:spacing w:val="-1"/>
          <w:sz w:val="28"/>
        </w:rPr>
        <w:t>, в том числе:</w:t>
      </w:r>
    </w:p>
    <w:p w14:paraId="08000000">
      <w:pPr>
        <w:spacing w:after="0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- </w:t>
      </w:r>
      <w:r>
        <w:rPr>
          <w:rFonts w:ascii="Times New Roman" w:hAnsi="Times New Roman"/>
          <w:spacing w:val="-1"/>
          <w:sz w:val="28"/>
        </w:rPr>
        <w:t xml:space="preserve">«Строительство городского Дворца культуры «Шахтер» в </w:t>
      </w:r>
      <w:r>
        <w:rPr>
          <w:rFonts w:ascii="Times New Roman" w:hAnsi="Times New Roman"/>
          <w:spacing w:val="-1"/>
          <w:sz w:val="28"/>
        </w:rPr>
        <w:t>г</w:t>
      </w:r>
      <w:r>
        <w:rPr>
          <w:rFonts w:ascii="Times New Roman" w:hAnsi="Times New Roman"/>
          <w:spacing w:val="-1"/>
          <w:sz w:val="28"/>
        </w:rPr>
        <w:t>. Донецке»</w:t>
      </w:r>
      <w:r>
        <w:rPr>
          <w:rFonts w:ascii="Times New Roman" w:hAnsi="Times New Roman"/>
          <w:spacing w:val="-1"/>
          <w:sz w:val="28"/>
        </w:rPr>
        <w:t xml:space="preserve"> стоимостью 243,03 млн. рублей;</w:t>
      </w:r>
    </w:p>
    <w:p w14:paraId="09000000">
      <w:pPr>
        <w:spacing w:after="0"/>
        <w:ind w:firstLine="709" w:left="0"/>
        <w:jc w:val="both"/>
      </w:pPr>
      <w:r>
        <w:rPr>
          <w:rFonts w:ascii="Times New Roman" w:hAnsi="Times New Roman"/>
          <w:spacing w:val="-1"/>
          <w:sz w:val="28"/>
        </w:rPr>
        <w:t>- индивидуальное жилищное строительство стоимостью 126,4 млн. рублей;</w:t>
      </w:r>
    </w:p>
    <w:p w14:paraId="0A000000">
      <w:pPr>
        <w:spacing w:after="0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Снижение в 2023 году </w:t>
      </w:r>
      <w:r>
        <w:rPr>
          <w:rFonts w:ascii="Times New Roman" w:hAnsi="Times New Roman"/>
          <w:spacing w:val="-1"/>
          <w:sz w:val="28"/>
        </w:rPr>
        <w:t>объемов работ, выполненных по виду деятельности «строительство» обусловлено тем, что завершено строительство крупных объектов таких как строительство</w:t>
      </w:r>
      <w:r>
        <w:rPr>
          <w:rFonts w:ascii="Times New Roman" w:hAnsi="Times New Roman"/>
          <w:spacing w:val="-1"/>
          <w:sz w:val="28"/>
        </w:rPr>
        <w:t xml:space="preserve"> сетей и сооружений.</w:t>
      </w:r>
    </w:p>
    <w:p w14:paraId="0B000000">
      <w:pPr>
        <w:spacing w:after="0"/>
        <w:ind w:firstLine="908" w:left="-57"/>
        <w:jc w:val="both"/>
      </w:pPr>
      <w:r>
        <w:rPr>
          <w:rFonts w:ascii="Times New Roman" w:hAnsi="Times New Roman"/>
          <w:b w:val="1"/>
          <w:spacing w:val="-1"/>
          <w:sz w:val="28"/>
        </w:rPr>
        <w:tab/>
      </w:r>
      <w:r>
        <w:rPr>
          <w:rFonts w:ascii="Times New Roman" w:hAnsi="Times New Roman"/>
          <w:b w:val="1"/>
          <w:spacing w:val="-1"/>
          <w:sz w:val="28"/>
        </w:rPr>
        <w:t>В 2024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</w:t>
      </w:r>
      <w:r>
        <w:rPr>
          <w:rFonts w:ascii="Times New Roman" w:hAnsi="Times New Roman"/>
          <w:spacing w:val="-1"/>
          <w:sz w:val="28"/>
        </w:rPr>
        <w:t>400,35  млн. рублей</w:t>
      </w:r>
      <w:r>
        <w:rPr>
          <w:rFonts w:ascii="Times New Roman" w:hAnsi="Times New Roman"/>
          <w:spacing w:val="-1"/>
          <w:sz w:val="28"/>
        </w:rPr>
        <w:t>, в том числе</w:t>
      </w:r>
      <w:r>
        <w:rPr>
          <w:rFonts w:ascii="Times New Roman" w:hAnsi="Times New Roman"/>
          <w:spacing w:val="-1"/>
          <w:sz w:val="28"/>
        </w:rPr>
        <w:t>:</w:t>
      </w:r>
    </w:p>
    <w:p w14:paraId="0C000000">
      <w:pPr>
        <w:numPr>
          <w:numId w:val="1"/>
        </w:numPr>
        <w:tabs>
          <w:tab w:leader="none" w:pos="851" w:val="left"/>
          <w:tab w:leader="none" w:pos="993" w:val="left"/>
        </w:tabs>
        <w:spacing w:after="0"/>
        <w:ind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«Строительство городского Дворца культуры «Шахтер» в </w:t>
      </w:r>
      <w:r>
        <w:rPr>
          <w:rFonts w:ascii="Times New Roman" w:hAnsi="Times New Roman"/>
          <w:spacing w:val="-1"/>
          <w:sz w:val="28"/>
        </w:rPr>
        <w:t>г</w:t>
      </w:r>
      <w:r>
        <w:rPr>
          <w:rFonts w:ascii="Times New Roman" w:hAnsi="Times New Roman"/>
          <w:spacing w:val="-1"/>
          <w:sz w:val="28"/>
        </w:rPr>
        <w:t>. Донецке»</w:t>
      </w:r>
      <w:r>
        <w:rPr>
          <w:rFonts w:ascii="Times New Roman" w:hAnsi="Times New Roman"/>
          <w:spacing w:val="-1"/>
          <w:sz w:val="28"/>
        </w:rPr>
        <w:t xml:space="preserve"> стоимостью 240,35 млн. рублей;</w:t>
      </w:r>
    </w:p>
    <w:p w14:paraId="0D000000">
      <w:pPr>
        <w:tabs>
          <w:tab w:leader="none" w:pos="851" w:val="left"/>
          <w:tab w:leader="none" w:pos="993" w:val="left"/>
        </w:tabs>
        <w:spacing w:after="0"/>
        <w:ind w:firstLine="0" w:left="57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- индивидуальное жилищное строительство стоимостью 160,0 млн. рублей.</w:t>
      </w:r>
    </w:p>
    <w:p w14:paraId="0E000000">
      <w:pPr>
        <w:tabs>
          <w:tab w:leader="none" w:pos="851" w:val="left"/>
          <w:tab w:leader="none" w:pos="993" w:val="left"/>
        </w:tabs>
        <w:spacing w:after="0"/>
        <w:ind w:firstLine="0" w:left="57"/>
        <w:contextualSpacing w:val="1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 xml:space="preserve">В 2024 году снижение объемов работ, выполненных по виду деятельности «строительство» не планируется, </w:t>
      </w:r>
      <w:r>
        <w:rPr>
          <w:rFonts w:ascii="Times New Roman" w:hAnsi="Times New Roman"/>
          <w:spacing w:val="-1"/>
          <w:sz w:val="28"/>
        </w:rPr>
        <w:t>потому</w:t>
      </w:r>
      <w:r>
        <w:rPr>
          <w:rFonts w:ascii="Times New Roman" w:hAnsi="Times New Roman"/>
          <w:spacing w:val="-1"/>
          <w:sz w:val="28"/>
        </w:rPr>
        <w:t xml:space="preserve"> как  в городе Донецке ведется строительство крупного социального объекта как Дворец культуры.  </w:t>
      </w:r>
    </w:p>
    <w:p w14:paraId="0F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ab/>
      </w:r>
      <w:r>
        <w:rPr>
          <w:rFonts w:ascii="Times New Roman" w:hAnsi="Times New Roman"/>
          <w:b w:val="1"/>
          <w:spacing w:val="-1"/>
          <w:sz w:val="28"/>
        </w:rPr>
        <w:t>В 2025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 </w:t>
      </w:r>
      <w:r>
        <w:rPr>
          <w:rFonts w:ascii="Times New Roman" w:hAnsi="Times New Roman"/>
          <w:spacing w:val="-1"/>
          <w:sz w:val="28"/>
        </w:rPr>
        <w:t>260,0</w:t>
      </w:r>
      <w:r>
        <w:rPr>
          <w:rFonts w:ascii="Times New Roman" w:hAnsi="Times New Roman"/>
          <w:spacing w:val="-1"/>
          <w:sz w:val="28"/>
        </w:rPr>
        <w:t xml:space="preserve"> млн. рублей, в том числе планируется</w:t>
      </w:r>
      <w:r>
        <w:rPr>
          <w:rFonts w:ascii="Times New Roman" w:hAnsi="Times New Roman"/>
          <w:spacing w:val="-1"/>
          <w:sz w:val="28"/>
        </w:rPr>
        <w:t>:</w:t>
      </w:r>
    </w:p>
    <w:p w14:paraId="10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 xml:space="preserve">- </w:t>
      </w:r>
      <w:r>
        <w:rPr>
          <w:rFonts w:ascii="Times New Roman" w:hAnsi="Times New Roman"/>
          <w:spacing w:val="-1"/>
          <w:sz w:val="28"/>
        </w:rPr>
        <w:t>застройка  малоэтажными  жилыми домами  земельных участков в границах улиц Александра Кулешова, Городская</w:t>
      </w:r>
      <w:r>
        <w:rPr>
          <w:rFonts w:ascii="Times New Roman" w:hAnsi="Times New Roman"/>
          <w:spacing w:val="-1"/>
          <w:sz w:val="28"/>
        </w:rPr>
        <w:t xml:space="preserve"> стоимостью 100 млн. рублей;</w:t>
      </w:r>
    </w:p>
    <w:p w14:paraId="11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- индивидуальное жилищное строительство стоимостью 160,0 млн. рублей.</w:t>
      </w:r>
    </w:p>
    <w:p w14:paraId="12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  <w:rPr>
          <w:rFonts w:ascii="Times New Roman" w:hAnsi="Times New Roman"/>
          <w:spacing w:val="-1"/>
          <w:sz w:val="28"/>
        </w:rPr>
      </w:pPr>
      <w:r>
        <w:tab/>
      </w:r>
      <w:r>
        <w:rPr>
          <w:rFonts w:ascii="Times New Roman" w:hAnsi="Times New Roman"/>
          <w:b w:val="1"/>
          <w:spacing w:val="-1"/>
          <w:sz w:val="28"/>
        </w:rPr>
        <w:t>В 2026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 </w:t>
      </w:r>
      <w:r>
        <w:rPr>
          <w:rFonts w:ascii="Times New Roman" w:hAnsi="Times New Roman"/>
          <w:spacing w:val="-1"/>
          <w:sz w:val="28"/>
        </w:rPr>
        <w:t>260,0</w:t>
      </w:r>
      <w:r>
        <w:rPr>
          <w:rFonts w:ascii="Times New Roman" w:hAnsi="Times New Roman"/>
          <w:spacing w:val="-1"/>
          <w:sz w:val="28"/>
        </w:rPr>
        <w:t xml:space="preserve"> млн. рублей, в том числе планируется</w:t>
      </w:r>
      <w:r>
        <w:rPr>
          <w:rFonts w:ascii="Times New Roman" w:hAnsi="Times New Roman"/>
          <w:spacing w:val="-1"/>
          <w:sz w:val="28"/>
        </w:rPr>
        <w:t>:</w:t>
      </w:r>
    </w:p>
    <w:p w14:paraId="13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 xml:space="preserve">- </w:t>
      </w:r>
      <w:r>
        <w:rPr>
          <w:rFonts w:ascii="Times New Roman" w:hAnsi="Times New Roman"/>
          <w:spacing w:val="-1"/>
          <w:sz w:val="28"/>
        </w:rPr>
        <w:t>завершение  застройки  малоэтажными  жилыми домами  земельных участков в границах улиц Александра Кулешова, Городская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стоимостью 100 млн. рублей;</w:t>
      </w:r>
    </w:p>
    <w:p w14:paraId="14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- индивидуальное жилищное строительство стоимостью 160,0 млн. рублей.</w:t>
      </w:r>
    </w:p>
    <w:p w14:paraId="15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  <w:rPr>
          <w:rFonts w:ascii="Times New Roman" w:hAnsi="Times New Roman"/>
          <w:spacing w:val="-1"/>
          <w:sz w:val="28"/>
        </w:rPr>
      </w:pPr>
      <w:r>
        <w:tab/>
      </w:r>
      <w:r>
        <w:rPr>
          <w:rFonts w:ascii="Times New Roman" w:hAnsi="Times New Roman"/>
          <w:b w:val="1"/>
          <w:spacing w:val="-1"/>
          <w:sz w:val="28"/>
        </w:rPr>
        <w:t>В 2027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 </w:t>
      </w:r>
      <w:r>
        <w:rPr>
          <w:rFonts w:ascii="Times New Roman" w:hAnsi="Times New Roman"/>
          <w:spacing w:val="-1"/>
          <w:sz w:val="28"/>
        </w:rPr>
        <w:t>274,4</w:t>
      </w:r>
      <w:r>
        <w:rPr>
          <w:rFonts w:ascii="Times New Roman" w:hAnsi="Times New Roman"/>
          <w:spacing w:val="-1"/>
          <w:sz w:val="28"/>
        </w:rPr>
        <w:t xml:space="preserve"> млн. рублей, в том числе планируется</w:t>
      </w:r>
      <w:r>
        <w:rPr>
          <w:rFonts w:ascii="Times New Roman" w:hAnsi="Times New Roman"/>
          <w:spacing w:val="-1"/>
          <w:sz w:val="28"/>
        </w:rPr>
        <w:t>:</w:t>
      </w:r>
    </w:p>
    <w:p w14:paraId="16000000">
      <w:pPr>
        <w:numPr>
          <w:numId w:val="2"/>
        </w:numPr>
        <w:tabs>
          <w:tab w:leader="none" w:pos="851" w:val="left"/>
          <w:tab w:leader="none" w:pos="993" w:val="left"/>
        </w:tabs>
        <w:spacing w:after="0"/>
        <w:ind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строительство инженерных сетей на земельных участках, предусмотренных для многодетных семей в пределах границ улиц Александра Кулешова, Ольховская, Дорожная площадью 43,0 га </w:t>
      </w:r>
      <w:r>
        <w:rPr>
          <w:rFonts w:ascii="Times New Roman" w:hAnsi="Times New Roman"/>
          <w:spacing w:val="-1"/>
          <w:sz w:val="28"/>
        </w:rPr>
        <w:t>стоимостью 81,9 млн. рублей,</w:t>
      </w:r>
    </w:p>
    <w:p w14:paraId="17000000">
      <w:pPr>
        <w:tabs>
          <w:tab w:leader="none" w:pos="851" w:val="left"/>
          <w:tab w:leader="none" w:pos="993" w:val="left"/>
        </w:tabs>
        <w:spacing w:after="0"/>
        <w:ind w:firstLine="0" w:left="-57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- индивидуальное жилищное строительство стоимостью 192,5 млн. рублей.</w:t>
      </w:r>
    </w:p>
    <w:p w14:paraId="18000000">
      <w:pPr>
        <w:pStyle w:val="Style_1"/>
        <w:tabs>
          <w:tab w:leader="none" w:pos="675" w:val="left"/>
        </w:tabs>
        <w:spacing w:after="0"/>
        <w:ind w:firstLine="0" w:left="113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В 2025 году снижение объемов работ, выполненных по виду деятельности «строительство» поясняется тем, что завершится строительство крупного  объекта, такого как строительство городского Дворца культуры «Шахтер».</w:t>
      </w:r>
    </w:p>
    <w:p w14:paraId="19000000">
      <w:pPr>
        <w:spacing w:after="0"/>
        <w:ind w:firstLine="567" w:left="0"/>
        <w:jc w:val="both"/>
      </w:pP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</w:rPr>
        <w:t>Средними предприятиями работы по виду деятельности «строительство» в 2021, 2022, 2023 годах не выполнялись.</w:t>
      </w:r>
    </w:p>
    <w:p w14:paraId="1A000000">
      <w:pPr>
        <w:spacing w:after="0"/>
        <w:ind w:firstLine="709" w:left="0"/>
        <w:jc w:val="both"/>
      </w:pPr>
      <w:bookmarkStart w:id="1" w:name="__DdeLink__92_4025954390"/>
      <w:bookmarkEnd w:id="1"/>
      <w:r>
        <w:rPr>
          <w:rFonts w:ascii="Times New Roman" w:hAnsi="Times New Roman"/>
          <w:sz w:val="28"/>
        </w:rPr>
        <w:t>В 2021 году введено в эксплуатацию 5,802 тыс. кв. м. благоустроенного жилья, в том числе за счет индивидуального жилищного строительства 5,802 тыс. кв. м.</w:t>
      </w:r>
      <w:r>
        <w:rPr>
          <w:rFonts w:ascii="Times New Roman" w:hAnsi="Times New Roman"/>
          <w:sz w:val="28"/>
        </w:rPr>
        <w:t xml:space="preserve"> План объема работ составил </w:t>
      </w:r>
      <w:r>
        <w:rPr>
          <w:rFonts w:ascii="Times New Roman" w:hAnsi="Times New Roman"/>
          <w:sz w:val="28"/>
        </w:rPr>
        <w:t>153,6</w:t>
      </w:r>
      <w:r>
        <w:rPr>
          <w:rFonts w:ascii="Times New Roman" w:hAnsi="Times New Roman"/>
          <w:sz w:val="28"/>
        </w:rPr>
        <w:t xml:space="preserve"> млн. рублей.</w:t>
      </w:r>
    </w:p>
    <w:p w14:paraId="1B000000">
      <w:pPr>
        <w:spacing w:after="0"/>
        <w:ind w:firstLine="709" w:left="0"/>
        <w:jc w:val="both"/>
      </w:pPr>
      <w:r>
        <w:rPr>
          <w:rFonts w:ascii="Times New Roman" w:hAnsi="Times New Roman"/>
          <w:sz w:val="28"/>
        </w:rPr>
        <w:t>В 2022 году введено в эксплуатацию 4,776 тыс. кв. м. благоустроенного жилья, в том числе за счет индивидуального жилищного строительства 4,776 тыс. кв. м. План объема работ составил 126,4 млн. рублей.</w:t>
      </w:r>
    </w:p>
    <w:p w14:paraId="1C000000">
      <w:pPr>
        <w:spacing w:after="0"/>
        <w:ind w:firstLine="709" w:left="0"/>
        <w:jc w:val="both"/>
      </w:pPr>
      <w:r>
        <w:rPr>
          <w:rFonts w:ascii="Times New Roman" w:hAnsi="Times New Roman"/>
          <w:sz w:val="28"/>
        </w:rPr>
        <w:t>В 2023 году введено в эксплуатацию 6,077 тыс. кв. м. благоустроенного жилья, в том числе за счет индивидуального жилищного строительства 6,077 тыс. кв. м. План объема работ составил 126,4 млн. рублей.</w:t>
      </w:r>
    </w:p>
    <w:p w14:paraId="1D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Прогнозные данные по вводу в эксплуатацию жилых домов на 2024</w:t>
      </w:r>
      <w:r>
        <w:rPr>
          <w:rFonts w:ascii="Times New Roman" w:hAnsi="Times New Roman"/>
          <w:sz w:val="28"/>
        </w:rPr>
        <w:t>-2027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определены в рамках соглашения о реализации программы по вводу жилья в эксплуатацию на 2021-2030 годы и составля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:</w:t>
      </w:r>
    </w:p>
    <w:p w14:paraId="1E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2024 году — 5,45 тыс. кв.м.</w:t>
      </w:r>
      <w:r>
        <w:rPr>
          <w:rFonts w:ascii="Times New Roman" w:hAnsi="Times New Roman"/>
          <w:sz w:val="28"/>
        </w:rPr>
        <w:t>, в том числе за счет индивидуального жилищного строительства 5,45 тыс. кв.м.</w:t>
      </w:r>
      <w:r>
        <w:rPr>
          <w:rFonts w:ascii="Times New Roman" w:hAnsi="Times New Roman"/>
          <w:sz w:val="28"/>
        </w:rPr>
        <w:t xml:space="preserve"> План о</w:t>
      </w:r>
      <w:r>
        <w:rPr>
          <w:rFonts w:ascii="Times New Roman" w:hAnsi="Times New Roman"/>
          <w:sz w:val="28"/>
        </w:rPr>
        <w:t>бъема работ — 160,0 млн. рублей;</w:t>
      </w:r>
    </w:p>
    <w:p w14:paraId="1F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2025 году — 5,45 тыс. кв.м., в том числе за счет индивидуального жилищного строительства 5,45 тыс. кв.м. План объема работ — 160,0 млн. рублей;</w:t>
      </w:r>
    </w:p>
    <w:p w14:paraId="20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2026 году — 5,45 тыс. кв.м., в том числе за счет индивидуального жилищного строительства 5,45 тыс. кв.м. План о</w:t>
      </w:r>
      <w:r>
        <w:rPr>
          <w:rFonts w:ascii="Times New Roman" w:hAnsi="Times New Roman"/>
          <w:sz w:val="28"/>
        </w:rPr>
        <w:t>бъема работ — 160,0 млн. рублей.</w:t>
      </w:r>
    </w:p>
    <w:p w14:paraId="21000000">
      <w:pPr>
        <w:numPr>
          <w:numId w:val="3"/>
        </w:num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2027 году – 6,16 тыс. кв.м. </w:t>
      </w:r>
      <w:r>
        <w:rPr>
          <w:rFonts w:ascii="Times New Roman" w:hAnsi="Times New Roman"/>
          <w:sz w:val="28"/>
        </w:rPr>
        <w:t>План о</w:t>
      </w:r>
      <w:r>
        <w:rPr>
          <w:rFonts w:ascii="Times New Roman" w:hAnsi="Times New Roman"/>
          <w:sz w:val="28"/>
        </w:rPr>
        <w:t>бъема работ — 192,5 млн. рублей.</w:t>
      </w:r>
    </w:p>
    <w:p w14:paraId="22000000">
      <w:pPr>
        <w:spacing w:after="57"/>
        <w:ind w:firstLine="709" w:left="0"/>
        <w:jc w:val="both"/>
      </w:pPr>
      <w:r>
        <w:rPr>
          <w:rFonts w:ascii="Times New Roman" w:hAnsi="Times New Roman"/>
          <w:spacing w:val="-1"/>
          <w:sz w:val="28"/>
        </w:rPr>
        <w:t>Прогнозные значения по вводу в эксплуатацию жилых домов за счет всех источников финансирования на 2025-2027 годы соответствуют темпам ввода жилья для Ростовской области, установленным соглашением о реализации программы по вводу жилья в эксплуатацию на 2021-20</w:t>
      </w:r>
      <w:r>
        <w:rPr>
          <w:rFonts w:ascii="Times New Roman" w:hAnsi="Times New Roman"/>
          <w:spacing w:val="-1"/>
          <w:sz w:val="28"/>
        </w:rPr>
        <w:t>30</w:t>
      </w:r>
      <w:r>
        <w:rPr>
          <w:rFonts w:ascii="Times New Roman" w:hAnsi="Times New Roman"/>
          <w:spacing w:val="-1"/>
          <w:sz w:val="28"/>
        </w:rPr>
        <w:t xml:space="preserve"> годах на территории городского округа муниципального образования «Город Донецк».</w:t>
      </w:r>
    </w:p>
    <w:p w14:paraId="23000000">
      <w:pPr>
        <w:spacing w:after="57"/>
        <w:ind w:firstLine="709" w:left="0"/>
        <w:jc w:val="both"/>
      </w:pPr>
      <w:r>
        <w:rPr>
          <w:rFonts w:ascii="Times New Roman" w:hAnsi="Times New Roman"/>
          <w:spacing w:val="-1"/>
          <w:sz w:val="28"/>
        </w:rPr>
        <w:t xml:space="preserve">В целях создания условий для развития жилищного строительства выделены перспективные площадки для комплексного освоения, а именно: земельные </w:t>
      </w:r>
      <w:r>
        <w:rPr>
          <w:rFonts w:ascii="Times New Roman" w:hAnsi="Times New Roman"/>
          <w:spacing w:val="-1"/>
          <w:sz w:val="28"/>
        </w:rPr>
        <w:t>участки в границах улиц Александра Кулешова, Городская площадью 52,0 га и в границах улиц Александра Кулешова, Ольховская, Дорожная площадью 43,0 га. Данные участки включены в План мероприятий по подготовке к предоставлению и освоению территорий, приоритетных для развития малоэтажного жилищного строительства в муниципальном образовании «Город Донецк» на период до 2030 года.</w:t>
      </w:r>
    </w:p>
    <w:p w14:paraId="24000000">
      <w:pPr>
        <w:spacing w:after="57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рассматривается вопрос строительства в 2025-2026 годах многоквартирных жилых домов по уникальной технологии быстрого строительства из конструкций максимальной заводской готовности из стального рамно-связевого каркаса с наружными и внутренними стеновыми панелями и пустотелыми железобетонными плитами перекрытия для переселения граждан из аварийного жилищного фонда и предостав</w:t>
      </w:r>
      <w:r>
        <w:rPr>
          <w:rFonts w:ascii="Times New Roman" w:hAnsi="Times New Roman"/>
          <w:sz w:val="28"/>
        </w:rPr>
        <w:t>ления жилых помещений для детей</w:t>
      </w:r>
      <w:r>
        <w:rPr>
          <w:rFonts w:ascii="Times New Roman" w:hAnsi="Times New Roman"/>
          <w:sz w:val="28"/>
        </w:rPr>
        <w:t>-сирот.</w:t>
      </w:r>
    </w:p>
    <w:p w14:paraId="25000000">
      <w:pPr>
        <w:spacing w:after="57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В 2019 году земельные участки в границах улиц Александра Кулешова, Городская площадью 52,0 га обеспечены инженерной инфраструктурой (газоснабжение среднего и низкого давления, строительство ГРПБ; электроснабжение, водоснабжение, водоотведение),  184 земельных участка для многодетных семей, что позволит в будущем осуществить застройку домами индивидуального жилищного строительства.</w:t>
      </w:r>
    </w:p>
    <w:p w14:paraId="26000000">
      <w:pPr>
        <w:tabs>
          <w:tab w:leader="none" w:pos="9356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Застройка территорий приоритетного развития позволит в будущем обеспечить значительный рост объемов вводимого жилья.</w:t>
      </w:r>
    </w:p>
    <w:p w14:paraId="27000000">
      <w:pPr>
        <w:tabs>
          <w:tab w:leader="none" w:pos="9356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земельном  </w:t>
      </w:r>
      <w:r>
        <w:rPr>
          <w:rFonts w:ascii="Times New Roman" w:hAnsi="Times New Roman"/>
          <w:spacing w:val="-1"/>
          <w:sz w:val="28"/>
        </w:rPr>
        <w:t xml:space="preserve">участке в границах улиц Александра Кулешова, Городская </w:t>
      </w:r>
      <w:r>
        <w:rPr>
          <w:rFonts w:ascii="Times New Roman" w:hAnsi="Times New Roman"/>
          <w:sz w:val="28"/>
        </w:rPr>
        <w:t>в 2026 году планируется строительство автомобильной дороги с твердым покрытием к земельным участкам, предоставленных многодетным семьям.</w:t>
      </w:r>
    </w:p>
    <w:p w14:paraId="28000000">
      <w:pPr>
        <w:tabs>
          <w:tab w:leader="none" w:pos="9356" w:val="left"/>
        </w:tabs>
        <w:spacing w:after="0"/>
        <w:ind w:firstLine="709" w:left="0"/>
        <w:jc w:val="both"/>
      </w:pPr>
      <w:r>
        <w:rPr>
          <w:rFonts w:ascii="Times New Roman" w:hAnsi="Times New Roman"/>
          <w:spacing w:val="-1"/>
          <w:sz w:val="28"/>
        </w:rPr>
        <w:t>По состоянию на 01.01.2024 на территории муниципального образования «Город Донецк» отсутствуют крупные и средние предприятия, осуществляющие деятельность по производству строительных материалов, изделий и конструкций.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C000000">
      <w:pPr>
        <w:spacing w:after="0"/>
        <w:ind/>
        <w:jc w:val="both"/>
      </w:pPr>
      <w:r>
        <w:rPr>
          <w:rFonts w:ascii="Times New Roman" w:hAnsi="Times New Roman"/>
          <w:sz w:val="28"/>
        </w:rPr>
        <w:t>Заместитель главы Администрации</w:t>
      </w:r>
    </w:p>
    <w:p w14:paraId="2D000000">
      <w:pPr>
        <w:spacing w:after="0"/>
        <w:ind/>
        <w:jc w:val="both"/>
      </w:pPr>
      <w:r>
        <w:rPr>
          <w:rFonts w:ascii="Times New Roman" w:hAnsi="Times New Roman"/>
          <w:sz w:val="28"/>
        </w:rPr>
        <w:t xml:space="preserve">города Донецка по экономике и строительству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  В.А. Попов</w:t>
      </w:r>
    </w:p>
    <w:p w14:paraId="2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Наталья Александровна </w:t>
      </w:r>
      <w:r>
        <w:rPr>
          <w:rFonts w:ascii="Times New Roman" w:hAnsi="Times New Roman"/>
          <w:sz w:val="20"/>
        </w:rPr>
        <w:t>Кундрюцкая</w:t>
      </w:r>
    </w:p>
    <w:p w14:paraId="36000000">
      <w:pPr>
        <w:spacing w:after="0" w:line="240" w:lineRule="auto"/>
        <w:ind/>
        <w:jc w:val="both"/>
        <w:rPr>
          <w:sz w:val="20"/>
        </w:rPr>
      </w:pPr>
      <w:r>
        <w:rPr>
          <w:rFonts w:ascii="Times New Roman" w:hAnsi="Times New Roman"/>
          <w:sz w:val="20"/>
        </w:rPr>
        <w:t>8-86368-2-33-15</w:t>
      </w:r>
    </w:p>
    <w:sectPr>
      <w:pgSz w:h="16838" w:orient="portrait" w:w="11906"/>
      <w:pgMar w:bottom="709" w:footer="0" w:gutter="0" w:header="0" w:left="1125" w:right="7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286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Theme="minorAscii" w:hAnsiTheme="minorHAnsi"/>
      <w:sz w:val="22"/>
    </w:rPr>
  </w:style>
  <w:style w:default="1" w:styleId="Style_2_ch" w:type="character">
    <w:name w:val="Normal"/>
    <w:link w:val="Style_2"/>
    <w:rPr>
      <w:rFonts w:asciiTheme="minorAscii" w:hAnsiTheme="minorHAns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Body Text"/>
    <w:basedOn w:val="Style_2"/>
    <w:link w:val="Style_7_ch"/>
    <w:pPr>
      <w:spacing w:after="140"/>
      <w:ind/>
    </w:pPr>
  </w:style>
  <w:style w:styleId="Style_7_ch" w:type="character">
    <w:name w:val="Body Text"/>
    <w:basedOn w:val="Style_2_ch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Caption"/>
    <w:basedOn w:val="Style_2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2_ch"/>
    <w:link w:val="Style_10"/>
    <w:rPr>
      <w:i w:val="1"/>
      <w:sz w:val="24"/>
    </w:rPr>
  </w:style>
  <w:style w:styleId="Style_11" w:type="paragraph">
    <w:name w:val="Маркеры списка"/>
    <w:link w:val="Style_11_ch"/>
    <w:rPr>
      <w:rFonts w:ascii="OpenSymbol" w:hAnsi="OpenSymbol"/>
    </w:rPr>
  </w:style>
  <w:style w:styleId="Style_11_ch" w:type="character">
    <w:name w:val="Маркеры списка"/>
    <w:link w:val="Style_11"/>
    <w:rPr>
      <w:rFonts w:ascii="OpenSymbol" w:hAnsi="OpenSymbol"/>
    </w:rPr>
  </w:style>
  <w:style w:styleId="Style_12" w:type="paragraph">
    <w:name w:val="toc 3"/>
    <w:next w:val="Style_2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List"/>
    <w:basedOn w:val="Style_7"/>
    <w:link w:val="Style_14_ch"/>
  </w:style>
  <w:style w:styleId="Style_14_ch" w:type="character">
    <w:name w:val="List"/>
    <w:basedOn w:val="Style_7_ch"/>
    <w:link w:val="Style_14"/>
  </w:style>
  <w:style w:styleId="Style_15" w:type="paragraph">
    <w:name w:val="Обычный1"/>
    <w:link w:val="Style_15_ch"/>
    <w:rPr>
      <w:rFonts w:asciiTheme="minorAscii" w:hAnsiTheme="minorHAnsi"/>
      <w:color w:val="000000"/>
      <w:sz w:val="22"/>
    </w:rPr>
  </w:style>
  <w:style w:styleId="Style_15_ch" w:type="character">
    <w:name w:val="Обычный1"/>
    <w:link w:val="Style_15"/>
    <w:rPr>
      <w:rFonts w:asciiTheme="minorAscii" w:hAnsiTheme="minorHAnsi"/>
      <w:color w:val="000000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Balloon Text"/>
    <w:basedOn w:val="Style_2"/>
    <w:link w:val="Style_17_ch"/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ind/>
      <w:jc w:val="both"/>
    </w:pPr>
    <w:rPr>
      <w:rFonts w:ascii="XO Thames" w:hAnsi="XO Thames"/>
    </w:rPr>
  </w:style>
  <w:style w:styleId="Style_21_ch" w:type="character">
    <w:name w:val="Header and Footer"/>
    <w:link w:val="Style_21"/>
    <w:rPr>
      <w:rFonts w:ascii="XO Thames" w:hAnsi="XO Thames"/>
    </w:rPr>
  </w:style>
  <w:style w:styleId="Style_22" w:type="paragraph">
    <w:name w:val="toc 9"/>
    <w:next w:val="Style_2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Заголовок"/>
    <w:basedOn w:val="Style_2"/>
    <w:next w:val="Style_7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2_ch"/>
    <w:link w:val="Style_23"/>
    <w:rPr>
      <w:rFonts w:ascii="Liberation Sans" w:hAnsi="Liberation San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index heading"/>
    <w:basedOn w:val="Style_2"/>
    <w:link w:val="Style_25_ch"/>
  </w:style>
  <w:style w:styleId="Style_25_ch" w:type="character">
    <w:name w:val="index heading"/>
    <w:basedOn w:val="Style_2_ch"/>
    <w:link w:val="Style_25"/>
  </w:style>
  <w:style w:styleId="Style_26" w:type="paragraph">
    <w:name w:val="Указатель1"/>
    <w:basedOn w:val="Style_15"/>
    <w:link w:val="Style_26_ch"/>
  </w:style>
  <w:style w:styleId="Style_26_ch" w:type="character">
    <w:name w:val="Указатель1"/>
    <w:basedOn w:val="Style_15_ch"/>
    <w:link w:val="Style_26"/>
  </w:style>
  <w:style w:styleId="Style_27" w:type="paragraph">
    <w:name w:val="toc 5"/>
    <w:next w:val="Style_2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Title"/>
    <w:next w:val="Style_2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2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2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2024-06-07T06:25:51Z</dcterms:modified>
</cp:coreProperties>
</file>