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4675D2">
        <w:rPr>
          <w:sz w:val="28"/>
          <w:szCs w:val="28"/>
          <w:highlight w:val="cyan"/>
        </w:rPr>
        <w:t>свободные –8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highlight w:val="green"/>
        </w:rPr>
        <w:t>аукционы проведены</w:t>
      </w:r>
      <w:r w:rsidR="00211772" w:rsidRPr="00211772">
        <w:rPr>
          <w:sz w:val="28"/>
          <w:szCs w:val="28"/>
          <w:highlight w:val="green"/>
        </w:rPr>
        <w:t>-34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FE000F">
        <w:trPr>
          <w:trHeight w:val="3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Количество размещенных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 в 0,7 м восточнее ориентира «здание по </w:t>
            </w:r>
            <w:r w:rsidRPr="004675D2">
              <w:rPr>
                <w:color w:val="000000"/>
                <w:highlight w:val="green"/>
              </w:rPr>
              <w:lastRenderedPageBreak/>
              <w:t>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8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 метрах севернее ориентира «пер.Осипенко,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7 метрах севернее ориентира «земельный участок 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«пр.Ленина,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 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 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 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 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69 метрах восточнее от ориентира «земельный участок по ул. </w:t>
            </w:r>
            <w:r w:rsidRPr="004675D2">
              <w:rPr>
                <w:color w:val="000000"/>
                <w:highlight w:val="green"/>
              </w:rPr>
              <w:lastRenderedPageBreak/>
              <w:t xml:space="preserve">Тимирязева, 5 И»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24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 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 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2 метрах восточнее от ориентира «город Донецк, нежилое здание по 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ул. Братьев Дорошевых, 30/23»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61:50:0070208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28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в 8 метрах восточнее от ориентира «нежилое здание  № 28, по улице Королева»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10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cyan"/>
              </w:rPr>
            </w:pPr>
            <w:r w:rsidRPr="004675D2">
              <w:rPr>
                <w:color w:val="000000"/>
                <w:highlight w:val="cyan"/>
              </w:rPr>
              <w:t>01.01 - 30.11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cyan"/>
              </w:rPr>
            </w:pPr>
            <w:r w:rsidRPr="004675D2">
              <w:rPr>
                <w:color w:val="000000"/>
                <w:highlight w:val="cyan"/>
              </w:rPr>
              <w:t>Сезонная продажа: овощи, фрукты, бахчевые культуры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cyan"/>
              </w:rPr>
            </w:pPr>
            <w:r w:rsidRPr="004675D2">
              <w:rPr>
                <w:highlight w:val="cyan"/>
              </w:rPr>
              <w:t>61:50:0080306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22 метрах 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течении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 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г.Донецк,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rPr>
          <w:trHeight w:val="207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9 м северо-западнее ориентира «жилой дом № 35»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 муниципальное образование «Город Донецк», город Донецк, в 6 метрах севернее от ориентира «земельный участок по проспекту Ленина,19 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3"/>
              <w:rPr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38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«Российская Федерация, Ростовская область, городской округ муниципальное образование «Город Донецк», в 7 метрах севернее земельного участка по проспекту Ленина, 27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60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highlight w:val="cyan"/>
              </w:rPr>
              <w:t>61:50:0080305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39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в 20 метрах южнее земельного участка «по проспекту квартал 60, № 6»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50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 xml:space="preserve">       61:50:0040105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в 30 метрах южнее земельного участка «по проспекту  квартал 60, № 6»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42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iCs/>
                <w:highlight w:val="cyan"/>
              </w:rPr>
              <w:t>Оказание бытовых услуг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61:50:0040105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lastRenderedPageBreak/>
              <w:t>41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«по проспекту Ленина, в 6 метрах юго-восточнее ориентира «нежилой дом № 19А»»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59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highlight w:val="cyan"/>
              </w:rPr>
            </w:pPr>
            <w:r w:rsidRPr="004675D2">
              <w:rPr>
                <w:sz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highlight w:val="cya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«по проспекту Ленина, в 14 метрах юго-восточнее ориентира «нежилой дом № 19А»»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59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  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  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 xml:space="preserve">Земельный участок в 19м севернее от ориентира «жилой дом 1А в квартале </w:t>
            </w:r>
            <w:proofErr w:type="spellStart"/>
            <w:r w:rsidRPr="004675D2">
              <w:rPr>
                <w:highlight w:val="cyan"/>
              </w:rPr>
              <w:t>Ляховича</w:t>
            </w:r>
            <w:proofErr w:type="spellEnd"/>
            <w:r w:rsidRPr="004675D2">
              <w:rPr>
                <w:highlight w:val="cyan"/>
              </w:rPr>
              <w:t>, города Донецка Ростовской области»»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28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  61:50:0040106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68F3"/>
    <w:rsid w:val="001F1C3D"/>
    <w:rsid w:val="00202881"/>
    <w:rsid w:val="00204348"/>
    <w:rsid w:val="00205DDE"/>
    <w:rsid w:val="00211772"/>
    <w:rsid w:val="00221418"/>
    <w:rsid w:val="00254CFE"/>
    <w:rsid w:val="002575C6"/>
    <w:rsid w:val="00265E4B"/>
    <w:rsid w:val="00275AF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A218E"/>
    <w:rsid w:val="003B2879"/>
    <w:rsid w:val="003B7BAB"/>
    <w:rsid w:val="003C1FC0"/>
    <w:rsid w:val="003F6B8F"/>
    <w:rsid w:val="00400473"/>
    <w:rsid w:val="00422CEF"/>
    <w:rsid w:val="00424D4A"/>
    <w:rsid w:val="0042777F"/>
    <w:rsid w:val="00447ACA"/>
    <w:rsid w:val="00465B1E"/>
    <w:rsid w:val="004675D2"/>
    <w:rsid w:val="00470B2D"/>
    <w:rsid w:val="00473BD5"/>
    <w:rsid w:val="00477C52"/>
    <w:rsid w:val="00482731"/>
    <w:rsid w:val="004D38AC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713FF6"/>
    <w:rsid w:val="0071423E"/>
    <w:rsid w:val="00721F19"/>
    <w:rsid w:val="00776C22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5050"/>
    <w:rsid w:val="00B55B14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A2483"/>
    <w:rsid w:val="00DA5228"/>
    <w:rsid w:val="00DA62C6"/>
    <w:rsid w:val="00DD38FB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F8D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Terminal1_1</cp:lastModifiedBy>
  <cp:revision>21</cp:revision>
  <cp:lastPrinted>2023-03-06T07:45:00Z</cp:lastPrinted>
  <dcterms:created xsi:type="dcterms:W3CDTF">2023-03-17T12:10:00Z</dcterms:created>
  <dcterms:modified xsi:type="dcterms:W3CDTF">2024-01-10T14:41:00Z</dcterms:modified>
</cp:coreProperties>
</file>